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78B" w:rsidRPr="00B67964" w:rsidRDefault="005A478B" w:rsidP="00D936C4">
      <w:pPr>
        <w:jc w:val="center"/>
        <w:rPr>
          <w:b/>
          <w:noProof/>
          <w:lang w:eastAsia="es-PE"/>
        </w:rPr>
      </w:pPr>
      <w:r w:rsidRPr="00B67964">
        <w:rPr>
          <w:b/>
          <w:noProof/>
          <w:lang w:eastAsia="es-PE"/>
        </w:rPr>
        <w:t>PONTIFICIA UNIVERSIDAD CATÓLICA DEL PERÚ</w:t>
      </w:r>
    </w:p>
    <w:p w:rsidR="005A478B" w:rsidRPr="00B67964" w:rsidRDefault="005A478B" w:rsidP="00D936C4">
      <w:pPr>
        <w:jc w:val="center"/>
        <w:rPr>
          <w:b/>
          <w:noProof/>
          <w:lang w:eastAsia="es-PE"/>
        </w:rPr>
      </w:pPr>
      <w:r w:rsidRPr="00B67964">
        <w:rPr>
          <w:b/>
          <w:noProof/>
          <w:lang w:eastAsia="es-PE"/>
        </w:rPr>
        <w:t>FACULTAD DE DERECHO</w:t>
      </w:r>
    </w:p>
    <w:p w:rsidR="005A478B" w:rsidRDefault="005A478B" w:rsidP="00D936C4">
      <w:pPr>
        <w:rPr>
          <w:noProof/>
          <w:lang w:eastAsia="es-PE"/>
        </w:rPr>
      </w:pPr>
    </w:p>
    <w:p w:rsidR="005A478B" w:rsidRDefault="005A478B" w:rsidP="00D936C4">
      <w:pPr>
        <w:rPr>
          <w:noProof/>
          <w:lang w:eastAsia="es-PE"/>
        </w:rPr>
      </w:pPr>
    </w:p>
    <w:p w:rsidR="005A478B" w:rsidRDefault="005A478B" w:rsidP="00D936C4">
      <w:pPr>
        <w:jc w:val="center"/>
        <w:rPr>
          <w:noProof/>
          <w:lang w:eastAsia="es-PE"/>
        </w:rPr>
      </w:pPr>
    </w:p>
    <w:p w:rsidR="00EF0CA8" w:rsidRDefault="00EF0CA8" w:rsidP="00D936C4">
      <w:pPr>
        <w:jc w:val="center"/>
        <w:rPr>
          <w:noProof/>
          <w:lang w:eastAsia="es-PE"/>
        </w:rPr>
      </w:pPr>
    </w:p>
    <w:p w:rsidR="00EF0CA8" w:rsidRDefault="00EF0CA8" w:rsidP="00D936C4">
      <w:pPr>
        <w:jc w:val="center"/>
        <w:rPr>
          <w:noProof/>
          <w:lang w:eastAsia="es-PE"/>
        </w:rPr>
      </w:pPr>
    </w:p>
    <w:p w:rsidR="005A478B" w:rsidRDefault="005A478B" w:rsidP="00D936C4">
      <w:pPr>
        <w:jc w:val="center"/>
      </w:pPr>
      <w:r w:rsidRPr="00B67964">
        <w:rPr>
          <w:noProof/>
          <w:lang w:eastAsia="es-PE"/>
        </w:rPr>
        <w:drawing>
          <wp:inline distT="0" distB="0" distL="0" distR="0" wp14:anchorId="6B1C3872" wp14:editId="34AE5EA2">
            <wp:extent cx="3571875" cy="1040529"/>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4231" cy="1047041"/>
                    </a:xfrm>
                    <a:prstGeom prst="rect">
                      <a:avLst/>
                    </a:prstGeom>
                    <a:noFill/>
                    <a:ln>
                      <a:noFill/>
                    </a:ln>
                  </pic:spPr>
                </pic:pic>
              </a:graphicData>
            </a:graphic>
          </wp:inline>
        </w:drawing>
      </w:r>
    </w:p>
    <w:p w:rsidR="005A478B" w:rsidRDefault="005A478B" w:rsidP="00D936C4">
      <w:pPr>
        <w:jc w:val="center"/>
      </w:pPr>
    </w:p>
    <w:p w:rsidR="005A478B" w:rsidRDefault="005A478B" w:rsidP="00D936C4">
      <w:pPr>
        <w:jc w:val="center"/>
      </w:pPr>
    </w:p>
    <w:p w:rsidR="00EF0CA8" w:rsidRDefault="00EF0CA8" w:rsidP="00D936C4">
      <w:pPr>
        <w:jc w:val="center"/>
      </w:pPr>
    </w:p>
    <w:p w:rsidR="00EF0CA8" w:rsidRDefault="00EF0CA8" w:rsidP="00D936C4">
      <w:pPr>
        <w:jc w:val="center"/>
      </w:pPr>
    </w:p>
    <w:p w:rsidR="005A478B" w:rsidRDefault="005A478B" w:rsidP="00D936C4">
      <w:pPr>
        <w:jc w:val="center"/>
        <w:rPr>
          <w:b/>
        </w:rPr>
      </w:pPr>
    </w:p>
    <w:p w:rsidR="00EF0CA8" w:rsidRPr="00B67964" w:rsidRDefault="00EF0CA8" w:rsidP="00D936C4">
      <w:pPr>
        <w:jc w:val="center"/>
        <w:rPr>
          <w:b/>
        </w:rPr>
      </w:pPr>
    </w:p>
    <w:p w:rsidR="005A478B" w:rsidRDefault="005A478B" w:rsidP="00D936C4">
      <w:pPr>
        <w:jc w:val="center"/>
        <w:rPr>
          <w:b/>
        </w:rPr>
      </w:pPr>
      <w:r w:rsidRPr="00B67964">
        <w:rPr>
          <w:b/>
        </w:rPr>
        <w:t>INFORME PROFESIONAL PARA OP</w:t>
      </w:r>
      <w:r w:rsidR="00EF0CA8">
        <w:rPr>
          <w:b/>
        </w:rPr>
        <w:t>T</w:t>
      </w:r>
      <w:r w:rsidRPr="00B67964">
        <w:rPr>
          <w:b/>
        </w:rPr>
        <w:t>AR EL TÍTULO PROFESIONAL DE ABOGADO</w:t>
      </w:r>
    </w:p>
    <w:p w:rsidR="00EF0CA8" w:rsidRDefault="00EF0CA8" w:rsidP="00D936C4">
      <w:pPr>
        <w:jc w:val="center"/>
        <w:rPr>
          <w:b/>
        </w:rPr>
      </w:pPr>
    </w:p>
    <w:p w:rsidR="00EF0CA8" w:rsidRDefault="00EF0CA8" w:rsidP="00D936C4">
      <w:pPr>
        <w:jc w:val="center"/>
        <w:rPr>
          <w:b/>
        </w:rPr>
      </w:pPr>
    </w:p>
    <w:p w:rsidR="00EF0CA8" w:rsidRDefault="00EF0CA8" w:rsidP="00D936C4">
      <w:pPr>
        <w:jc w:val="center"/>
        <w:rPr>
          <w:b/>
        </w:rPr>
      </w:pPr>
    </w:p>
    <w:p w:rsidR="00E85057" w:rsidRPr="00E85057" w:rsidRDefault="00E85057" w:rsidP="00D936C4">
      <w:pPr>
        <w:jc w:val="center"/>
        <w:rPr>
          <w:b/>
          <w:u w:val="single"/>
        </w:rPr>
      </w:pPr>
      <w:r w:rsidRPr="00E85057">
        <w:rPr>
          <w:b/>
          <w:u w:val="single"/>
        </w:rPr>
        <w:t>Expediente 010-2009/CLC-INDECOPI</w:t>
      </w:r>
    </w:p>
    <w:p w:rsidR="005A478B" w:rsidRDefault="005A478B" w:rsidP="00D936C4">
      <w:pPr>
        <w:jc w:val="center"/>
        <w:rPr>
          <w:b/>
        </w:rPr>
      </w:pPr>
      <w:r>
        <w:rPr>
          <w:b/>
        </w:rPr>
        <w:t>Resolución 051-2009/CLC-INDECOPI</w:t>
      </w:r>
    </w:p>
    <w:p w:rsidR="005A478B" w:rsidRDefault="005A478B" w:rsidP="00D936C4">
      <w:pPr>
        <w:jc w:val="center"/>
        <w:rPr>
          <w:b/>
        </w:rPr>
      </w:pPr>
      <w:r>
        <w:rPr>
          <w:b/>
        </w:rPr>
        <w:t>Resolución 001-2010/CLC-INDECOPI</w:t>
      </w:r>
    </w:p>
    <w:p w:rsidR="005A478B" w:rsidRDefault="005A478B" w:rsidP="00D936C4">
      <w:pPr>
        <w:jc w:val="center"/>
        <w:rPr>
          <w:b/>
        </w:rPr>
      </w:pPr>
      <w:r>
        <w:rPr>
          <w:b/>
        </w:rPr>
        <w:t>Resolución 07</w:t>
      </w:r>
      <w:r w:rsidR="00BB2214">
        <w:rPr>
          <w:b/>
        </w:rPr>
        <w:t>9</w:t>
      </w:r>
      <w:r>
        <w:rPr>
          <w:b/>
        </w:rPr>
        <w:t>4-2011/SC1-INDECOPI</w:t>
      </w:r>
    </w:p>
    <w:p w:rsidR="00EF0CA8" w:rsidRDefault="00EF0CA8" w:rsidP="00D936C4">
      <w:pPr>
        <w:jc w:val="center"/>
        <w:rPr>
          <w:b/>
        </w:rPr>
      </w:pPr>
    </w:p>
    <w:p w:rsidR="0066148C" w:rsidRDefault="0066148C" w:rsidP="00D936C4">
      <w:pPr>
        <w:jc w:val="center"/>
        <w:rPr>
          <w:b/>
        </w:rPr>
      </w:pPr>
    </w:p>
    <w:p w:rsidR="00EF0CA8" w:rsidRPr="00B67964" w:rsidRDefault="00EF0CA8" w:rsidP="00D936C4">
      <w:pPr>
        <w:jc w:val="center"/>
        <w:rPr>
          <w:b/>
        </w:rPr>
      </w:pPr>
    </w:p>
    <w:p w:rsidR="005A478B" w:rsidRDefault="005A478B" w:rsidP="00D936C4">
      <w:pPr>
        <w:jc w:val="center"/>
      </w:pPr>
    </w:p>
    <w:p w:rsidR="005A478B" w:rsidRPr="00B67964" w:rsidRDefault="005A478B" w:rsidP="00D936C4">
      <w:pPr>
        <w:jc w:val="center"/>
        <w:rPr>
          <w:b/>
        </w:rPr>
      </w:pPr>
      <w:r w:rsidRPr="00B67964">
        <w:rPr>
          <w:b/>
        </w:rPr>
        <w:t>AUTOR</w:t>
      </w:r>
    </w:p>
    <w:p w:rsidR="005A478B" w:rsidRDefault="00EF0CA8" w:rsidP="00D936C4">
      <w:pPr>
        <w:jc w:val="center"/>
      </w:pPr>
      <w:r>
        <w:t>Natalia Alessandra Romano Vergara</w:t>
      </w:r>
    </w:p>
    <w:p w:rsidR="005A478B" w:rsidRDefault="005A478B" w:rsidP="00D936C4">
      <w:pPr>
        <w:jc w:val="center"/>
      </w:pPr>
    </w:p>
    <w:p w:rsidR="00EF0CA8" w:rsidRDefault="00EF0CA8" w:rsidP="00D936C4">
      <w:pPr>
        <w:jc w:val="center"/>
      </w:pPr>
    </w:p>
    <w:p w:rsidR="00EF0CA8" w:rsidRDefault="00EF0CA8" w:rsidP="00D936C4">
      <w:pPr>
        <w:jc w:val="center"/>
      </w:pPr>
    </w:p>
    <w:p w:rsidR="00EF0CA8" w:rsidRDefault="00EF0CA8" w:rsidP="00D936C4">
      <w:pPr>
        <w:jc w:val="center"/>
      </w:pPr>
    </w:p>
    <w:p w:rsidR="005A478B" w:rsidRPr="00B67964" w:rsidRDefault="005A478B" w:rsidP="00D936C4">
      <w:pPr>
        <w:jc w:val="center"/>
        <w:rPr>
          <w:b/>
        </w:rPr>
      </w:pPr>
      <w:r w:rsidRPr="00B67964">
        <w:rPr>
          <w:b/>
        </w:rPr>
        <w:t>ASESOR</w:t>
      </w:r>
    </w:p>
    <w:p w:rsidR="005A478B" w:rsidRDefault="00EF0CA8" w:rsidP="00D936C4">
      <w:pPr>
        <w:jc w:val="center"/>
      </w:pPr>
      <w:r>
        <w:t>Alejandro Martín Moscol Salinas</w:t>
      </w:r>
    </w:p>
    <w:p w:rsidR="00EF0CA8" w:rsidRDefault="00EF0CA8" w:rsidP="00D936C4"/>
    <w:p w:rsidR="00EF0CA8" w:rsidRDefault="00EF0CA8" w:rsidP="00D936C4"/>
    <w:p w:rsidR="00EF0CA8" w:rsidRDefault="00EF0CA8" w:rsidP="00D936C4"/>
    <w:p w:rsidR="00EF0CA8" w:rsidRDefault="00EF0CA8" w:rsidP="00D936C4">
      <w:pPr>
        <w:jc w:val="center"/>
      </w:pPr>
    </w:p>
    <w:p w:rsidR="00EF0CA8" w:rsidRDefault="00EF0CA8" w:rsidP="00D936C4">
      <w:pPr>
        <w:jc w:val="center"/>
      </w:pPr>
    </w:p>
    <w:p w:rsidR="00EF0CA8" w:rsidRDefault="00EF0CA8" w:rsidP="00D936C4">
      <w:pPr>
        <w:jc w:val="center"/>
      </w:pPr>
    </w:p>
    <w:p w:rsidR="005A478B" w:rsidRDefault="005A478B" w:rsidP="00D936C4">
      <w:pPr>
        <w:jc w:val="center"/>
      </w:pPr>
      <w:r>
        <w:t xml:space="preserve">Lima, </w:t>
      </w:r>
      <w:r w:rsidR="00EF0CA8">
        <w:t>julio</w:t>
      </w:r>
      <w:r>
        <w:t xml:space="preserve">, </w:t>
      </w:r>
      <w:r w:rsidR="00EF0CA8">
        <w:t>2019</w:t>
      </w:r>
    </w:p>
    <w:p w:rsidR="004927C1" w:rsidRDefault="004927C1" w:rsidP="00D936C4">
      <w:pPr>
        <w:spacing w:line="360" w:lineRule="auto"/>
        <w:rPr>
          <w:b/>
          <w:color w:val="000000"/>
        </w:rPr>
      </w:pPr>
    </w:p>
    <w:p w:rsidR="004927C1" w:rsidRDefault="004927C1" w:rsidP="00D936C4">
      <w:pPr>
        <w:spacing w:line="360" w:lineRule="auto"/>
        <w:rPr>
          <w:b/>
          <w:color w:val="000000"/>
        </w:rPr>
      </w:pPr>
    </w:p>
    <w:p w:rsidR="002355F1" w:rsidRPr="000F6FB8" w:rsidRDefault="005A478B" w:rsidP="000F6FB8">
      <w:pPr>
        <w:spacing w:line="360" w:lineRule="auto"/>
        <w:jc w:val="center"/>
        <w:rPr>
          <w:b/>
          <w:color w:val="000000"/>
        </w:rPr>
      </w:pPr>
      <w:r w:rsidRPr="000F6FB8">
        <w:rPr>
          <w:rFonts w:eastAsia="Calibri"/>
          <w:b/>
          <w:color w:val="000000" w:themeColor="text1"/>
          <w:u w:val="single"/>
        </w:rPr>
        <w:t>Índice Analítico</w:t>
      </w:r>
    </w:p>
    <w:sdt>
      <w:sdtPr>
        <w:id w:val="1514651174"/>
        <w:docPartObj>
          <w:docPartGallery w:val="Table of Contents"/>
          <w:docPartUnique/>
        </w:docPartObj>
      </w:sdtPr>
      <w:sdtContent>
        <w:p w:rsidR="000F6FB8" w:rsidRDefault="00B219CF">
          <w:pPr>
            <w:pStyle w:val="TDC1"/>
            <w:rPr>
              <w:rFonts w:eastAsiaTheme="minorEastAsia" w:cstheme="minorBidi"/>
              <w:b w:val="0"/>
              <w:bCs w:val="0"/>
              <w:caps w:val="0"/>
              <w:noProof/>
              <w:sz w:val="24"/>
              <w:szCs w:val="24"/>
            </w:rPr>
          </w:pPr>
          <w:r>
            <w:fldChar w:fldCharType="begin"/>
          </w:r>
          <w:r>
            <w:instrText xml:space="preserve"> TOC \o "1-8" \h \z \u </w:instrText>
          </w:r>
          <w:r>
            <w:fldChar w:fldCharType="separate"/>
          </w:r>
          <w:hyperlink w:anchor="_Toc47387709" w:history="1">
            <w:r w:rsidR="000F6FB8" w:rsidRPr="00185868">
              <w:rPr>
                <w:rStyle w:val="Hipervnculo"/>
                <w:noProof/>
              </w:rPr>
              <w:t>1.</w:t>
            </w:r>
            <w:r w:rsidR="000F6FB8">
              <w:rPr>
                <w:rFonts w:eastAsiaTheme="minorEastAsia" w:cstheme="minorBidi"/>
                <w:b w:val="0"/>
                <w:bCs w:val="0"/>
                <w:caps w:val="0"/>
                <w:noProof/>
                <w:sz w:val="24"/>
                <w:szCs w:val="24"/>
              </w:rPr>
              <w:tab/>
            </w:r>
            <w:r w:rsidR="000F6FB8" w:rsidRPr="00185868">
              <w:rPr>
                <w:rStyle w:val="Hipervnculo"/>
                <w:noProof/>
              </w:rPr>
              <w:t>Introducción</w:t>
            </w:r>
            <w:r w:rsidR="000F6FB8">
              <w:rPr>
                <w:noProof/>
                <w:webHidden/>
              </w:rPr>
              <w:tab/>
            </w:r>
            <w:r w:rsidR="000F6FB8">
              <w:rPr>
                <w:noProof/>
                <w:webHidden/>
              </w:rPr>
              <w:fldChar w:fldCharType="begin"/>
            </w:r>
            <w:r w:rsidR="000F6FB8">
              <w:rPr>
                <w:noProof/>
                <w:webHidden/>
              </w:rPr>
              <w:instrText xml:space="preserve"> PAGEREF _Toc47387709 \h </w:instrText>
            </w:r>
            <w:r w:rsidR="000F6FB8">
              <w:rPr>
                <w:noProof/>
                <w:webHidden/>
              </w:rPr>
            </w:r>
            <w:r w:rsidR="000F6FB8">
              <w:rPr>
                <w:noProof/>
                <w:webHidden/>
              </w:rPr>
              <w:fldChar w:fldCharType="separate"/>
            </w:r>
            <w:r w:rsidR="000F6FB8">
              <w:rPr>
                <w:noProof/>
                <w:webHidden/>
              </w:rPr>
              <w:t>4</w:t>
            </w:r>
            <w:r w:rsidR="000F6FB8">
              <w:rPr>
                <w:noProof/>
                <w:webHidden/>
              </w:rPr>
              <w:fldChar w:fldCharType="end"/>
            </w:r>
          </w:hyperlink>
        </w:p>
        <w:p w:rsidR="000F6FB8" w:rsidRDefault="000F6FB8">
          <w:pPr>
            <w:pStyle w:val="TDC1"/>
            <w:rPr>
              <w:rFonts w:eastAsiaTheme="minorEastAsia" w:cstheme="minorBidi"/>
              <w:b w:val="0"/>
              <w:bCs w:val="0"/>
              <w:caps w:val="0"/>
              <w:noProof/>
              <w:sz w:val="24"/>
              <w:szCs w:val="24"/>
            </w:rPr>
          </w:pPr>
          <w:hyperlink w:anchor="_Toc47387710" w:history="1">
            <w:r w:rsidRPr="00185868">
              <w:rPr>
                <w:rStyle w:val="Hipervnculo"/>
                <w:noProof/>
              </w:rPr>
              <w:t>2.</w:t>
            </w:r>
            <w:r>
              <w:rPr>
                <w:rFonts w:eastAsiaTheme="minorEastAsia" w:cstheme="minorBidi"/>
                <w:b w:val="0"/>
                <w:bCs w:val="0"/>
                <w:caps w:val="0"/>
                <w:noProof/>
                <w:sz w:val="24"/>
                <w:szCs w:val="24"/>
              </w:rPr>
              <w:tab/>
            </w:r>
            <w:r w:rsidRPr="00185868">
              <w:rPr>
                <w:rStyle w:val="Hipervnculo"/>
                <w:noProof/>
              </w:rPr>
              <w:t>Justificación de la elección</w:t>
            </w:r>
            <w:r>
              <w:rPr>
                <w:noProof/>
                <w:webHidden/>
              </w:rPr>
              <w:tab/>
            </w:r>
            <w:r>
              <w:rPr>
                <w:noProof/>
                <w:webHidden/>
              </w:rPr>
              <w:fldChar w:fldCharType="begin"/>
            </w:r>
            <w:r>
              <w:rPr>
                <w:noProof/>
                <w:webHidden/>
              </w:rPr>
              <w:instrText xml:space="preserve"> PAGEREF _Toc47387710 \h </w:instrText>
            </w:r>
            <w:r>
              <w:rPr>
                <w:noProof/>
                <w:webHidden/>
              </w:rPr>
            </w:r>
            <w:r>
              <w:rPr>
                <w:noProof/>
                <w:webHidden/>
              </w:rPr>
              <w:fldChar w:fldCharType="separate"/>
            </w:r>
            <w:r>
              <w:rPr>
                <w:noProof/>
                <w:webHidden/>
              </w:rPr>
              <w:t>6</w:t>
            </w:r>
            <w:r>
              <w:rPr>
                <w:noProof/>
                <w:webHidden/>
              </w:rPr>
              <w:fldChar w:fldCharType="end"/>
            </w:r>
          </w:hyperlink>
        </w:p>
        <w:p w:rsidR="000F6FB8" w:rsidRDefault="000F6FB8">
          <w:pPr>
            <w:pStyle w:val="TDC1"/>
            <w:rPr>
              <w:rFonts w:eastAsiaTheme="minorEastAsia" w:cstheme="minorBidi"/>
              <w:b w:val="0"/>
              <w:bCs w:val="0"/>
              <w:caps w:val="0"/>
              <w:noProof/>
              <w:sz w:val="24"/>
              <w:szCs w:val="24"/>
            </w:rPr>
          </w:pPr>
          <w:hyperlink w:anchor="_Toc47387711" w:history="1">
            <w:r w:rsidRPr="00185868">
              <w:rPr>
                <w:rStyle w:val="Hipervnculo"/>
                <w:noProof/>
              </w:rPr>
              <w:t>3.</w:t>
            </w:r>
            <w:r>
              <w:rPr>
                <w:rFonts w:eastAsiaTheme="minorEastAsia" w:cstheme="minorBidi"/>
                <w:b w:val="0"/>
                <w:bCs w:val="0"/>
                <w:caps w:val="0"/>
                <w:noProof/>
                <w:sz w:val="24"/>
                <w:szCs w:val="24"/>
              </w:rPr>
              <w:tab/>
            </w:r>
            <w:r w:rsidRPr="00185868">
              <w:rPr>
                <w:rStyle w:val="Hipervnculo"/>
                <w:noProof/>
              </w:rPr>
              <w:t>Antecedentes</w:t>
            </w:r>
            <w:r>
              <w:rPr>
                <w:noProof/>
                <w:webHidden/>
              </w:rPr>
              <w:tab/>
            </w:r>
            <w:r>
              <w:rPr>
                <w:noProof/>
                <w:webHidden/>
              </w:rPr>
              <w:fldChar w:fldCharType="begin"/>
            </w:r>
            <w:r>
              <w:rPr>
                <w:noProof/>
                <w:webHidden/>
              </w:rPr>
              <w:instrText xml:space="preserve"> PAGEREF _Toc47387711 \h </w:instrText>
            </w:r>
            <w:r>
              <w:rPr>
                <w:noProof/>
                <w:webHidden/>
              </w:rPr>
            </w:r>
            <w:r>
              <w:rPr>
                <w:noProof/>
                <w:webHidden/>
              </w:rPr>
              <w:fldChar w:fldCharType="separate"/>
            </w:r>
            <w:r>
              <w:rPr>
                <w:noProof/>
                <w:webHidden/>
              </w:rPr>
              <w:t>6</w:t>
            </w:r>
            <w:r>
              <w:rPr>
                <w:noProof/>
                <w:webHidden/>
              </w:rPr>
              <w:fldChar w:fldCharType="end"/>
            </w:r>
          </w:hyperlink>
        </w:p>
        <w:p w:rsidR="000F6FB8" w:rsidRDefault="000F6FB8">
          <w:pPr>
            <w:pStyle w:val="TDC2"/>
            <w:tabs>
              <w:tab w:val="left" w:pos="960"/>
              <w:tab w:val="right" w:leader="dot" w:pos="8828"/>
            </w:tabs>
            <w:rPr>
              <w:rFonts w:eastAsiaTheme="minorEastAsia" w:cstheme="minorBidi"/>
              <w:smallCaps w:val="0"/>
              <w:noProof/>
              <w:sz w:val="24"/>
              <w:szCs w:val="24"/>
            </w:rPr>
          </w:pPr>
          <w:hyperlink w:anchor="_Toc47387712" w:history="1">
            <w:r w:rsidRPr="00185868">
              <w:rPr>
                <w:rStyle w:val="Hipervnculo"/>
                <w:noProof/>
              </w:rPr>
              <w:t>3.1.</w:t>
            </w:r>
            <w:r>
              <w:rPr>
                <w:rFonts w:eastAsiaTheme="minorEastAsia" w:cstheme="minorBidi"/>
                <w:smallCaps w:val="0"/>
                <w:noProof/>
                <w:sz w:val="24"/>
                <w:szCs w:val="24"/>
              </w:rPr>
              <w:tab/>
            </w:r>
            <w:r w:rsidRPr="00185868">
              <w:rPr>
                <w:rStyle w:val="Hipervnculo"/>
                <w:noProof/>
              </w:rPr>
              <w:t>Autorización previa para operación de concentración en el sector eléctrico</w:t>
            </w:r>
            <w:r>
              <w:rPr>
                <w:noProof/>
                <w:webHidden/>
              </w:rPr>
              <w:tab/>
            </w:r>
            <w:r>
              <w:rPr>
                <w:noProof/>
                <w:webHidden/>
              </w:rPr>
              <w:fldChar w:fldCharType="begin"/>
            </w:r>
            <w:r>
              <w:rPr>
                <w:noProof/>
                <w:webHidden/>
              </w:rPr>
              <w:instrText xml:space="preserve"> PAGEREF _Toc47387712 \h </w:instrText>
            </w:r>
            <w:r>
              <w:rPr>
                <w:noProof/>
                <w:webHidden/>
              </w:rPr>
            </w:r>
            <w:r>
              <w:rPr>
                <w:noProof/>
                <w:webHidden/>
              </w:rPr>
              <w:fldChar w:fldCharType="separate"/>
            </w:r>
            <w:r>
              <w:rPr>
                <w:noProof/>
                <w:webHidden/>
              </w:rPr>
              <w:t>7</w:t>
            </w:r>
            <w:r>
              <w:rPr>
                <w:noProof/>
                <w:webHidden/>
              </w:rPr>
              <w:fldChar w:fldCharType="end"/>
            </w:r>
          </w:hyperlink>
        </w:p>
        <w:p w:rsidR="000F6FB8" w:rsidRDefault="000F6FB8">
          <w:pPr>
            <w:pStyle w:val="TDC2"/>
            <w:tabs>
              <w:tab w:val="left" w:pos="960"/>
              <w:tab w:val="right" w:leader="dot" w:pos="8828"/>
            </w:tabs>
            <w:rPr>
              <w:rFonts w:eastAsiaTheme="minorEastAsia" w:cstheme="minorBidi"/>
              <w:smallCaps w:val="0"/>
              <w:noProof/>
              <w:sz w:val="24"/>
              <w:szCs w:val="24"/>
            </w:rPr>
          </w:pPr>
          <w:hyperlink w:anchor="_Toc47387713" w:history="1">
            <w:r w:rsidRPr="00185868">
              <w:rPr>
                <w:rStyle w:val="Hipervnculo"/>
                <w:noProof/>
              </w:rPr>
              <w:t>3.2.</w:t>
            </w:r>
            <w:r>
              <w:rPr>
                <w:rFonts w:eastAsiaTheme="minorEastAsia" w:cstheme="minorBidi"/>
                <w:smallCaps w:val="0"/>
                <w:noProof/>
                <w:sz w:val="24"/>
                <w:szCs w:val="24"/>
              </w:rPr>
              <w:tab/>
            </w:r>
            <w:r w:rsidRPr="00185868">
              <w:rPr>
                <w:rStyle w:val="Hipervnculo"/>
                <w:noProof/>
              </w:rPr>
              <w:t>Procedimiento administrativo sancionador por infracción de Enel a la Ley 26876</w:t>
            </w:r>
            <w:r>
              <w:rPr>
                <w:noProof/>
                <w:webHidden/>
              </w:rPr>
              <w:tab/>
            </w:r>
            <w:r>
              <w:rPr>
                <w:noProof/>
                <w:webHidden/>
              </w:rPr>
              <w:fldChar w:fldCharType="begin"/>
            </w:r>
            <w:r>
              <w:rPr>
                <w:noProof/>
                <w:webHidden/>
              </w:rPr>
              <w:instrText xml:space="preserve"> PAGEREF _Toc47387713 \h </w:instrText>
            </w:r>
            <w:r>
              <w:rPr>
                <w:noProof/>
                <w:webHidden/>
              </w:rPr>
            </w:r>
            <w:r>
              <w:rPr>
                <w:noProof/>
                <w:webHidden/>
              </w:rPr>
              <w:fldChar w:fldCharType="separate"/>
            </w:r>
            <w:r>
              <w:rPr>
                <w:noProof/>
                <w:webHidden/>
              </w:rPr>
              <w:t>12</w:t>
            </w:r>
            <w:r>
              <w:rPr>
                <w:noProof/>
                <w:webHidden/>
              </w:rPr>
              <w:fldChar w:fldCharType="end"/>
            </w:r>
          </w:hyperlink>
        </w:p>
        <w:p w:rsidR="000F6FB8" w:rsidRDefault="000F6FB8">
          <w:pPr>
            <w:pStyle w:val="TDC4"/>
            <w:tabs>
              <w:tab w:val="left" w:pos="1440"/>
              <w:tab w:val="right" w:leader="dot" w:pos="8828"/>
            </w:tabs>
            <w:rPr>
              <w:rFonts w:eastAsiaTheme="minorEastAsia" w:cstheme="minorBidi"/>
              <w:noProof/>
              <w:sz w:val="24"/>
              <w:szCs w:val="24"/>
            </w:rPr>
          </w:pPr>
          <w:hyperlink w:anchor="_Toc47387714" w:history="1">
            <w:r w:rsidRPr="00185868">
              <w:rPr>
                <w:rStyle w:val="Hipervnculo"/>
                <w:noProof/>
              </w:rPr>
              <w:t>3.2.1.</w:t>
            </w:r>
            <w:r>
              <w:rPr>
                <w:rFonts w:eastAsiaTheme="minorEastAsia" w:cstheme="minorBidi"/>
                <w:noProof/>
                <w:sz w:val="24"/>
                <w:szCs w:val="24"/>
              </w:rPr>
              <w:tab/>
            </w:r>
            <w:r w:rsidRPr="00185868">
              <w:rPr>
                <w:rStyle w:val="Hipervnculo"/>
                <w:noProof/>
              </w:rPr>
              <w:t>Resolución 051-2009/CLC-INDECOPI del 9 de julio de 2009</w:t>
            </w:r>
            <w:r>
              <w:rPr>
                <w:noProof/>
                <w:webHidden/>
              </w:rPr>
              <w:tab/>
            </w:r>
            <w:r>
              <w:rPr>
                <w:noProof/>
                <w:webHidden/>
              </w:rPr>
              <w:fldChar w:fldCharType="begin"/>
            </w:r>
            <w:r>
              <w:rPr>
                <w:noProof/>
                <w:webHidden/>
              </w:rPr>
              <w:instrText xml:space="preserve"> PAGEREF _Toc47387714 \h </w:instrText>
            </w:r>
            <w:r>
              <w:rPr>
                <w:noProof/>
                <w:webHidden/>
              </w:rPr>
            </w:r>
            <w:r>
              <w:rPr>
                <w:noProof/>
                <w:webHidden/>
              </w:rPr>
              <w:fldChar w:fldCharType="separate"/>
            </w:r>
            <w:r>
              <w:rPr>
                <w:noProof/>
                <w:webHidden/>
              </w:rPr>
              <w:t>15</w:t>
            </w:r>
            <w:r>
              <w:rPr>
                <w:noProof/>
                <w:webHidden/>
              </w:rPr>
              <w:fldChar w:fldCharType="end"/>
            </w:r>
          </w:hyperlink>
        </w:p>
        <w:p w:rsidR="000F6FB8" w:rsidRDefault="000F6FB8">
          <w:pPr>
            <w:pStyle w:val="TDC4"/>
            <w:tabs>
              <w:tab w:val="left" w:pos="1440"/>
              <w:tab w:val="right" w:leader="dot" w:pos="8828"/>
            </w:tabs>
            <w:rPr>
              <w:rFonts w:eastAsiaTheme="minorEastAsia" w:cstheme="minorBidi"/>
              <w:noProof/>
              <w:sz w:val="24"/>
              <w:szCs w:val="24"/>
            </w:rPr>
          </w:pPr>
          <w:hyperlink w:anchor="_Toc47387715" w:history="1">
            <w:r w:rsidRPr="00185868">
              <w:rPr>
                <w:rStyle w:val="Hipervnculo"/>
                <w:noProof/>
              </w:rPr>
              <w:t>3.2.2.</w:t>
            </w:r>
            <w:r>
              <w:rPr>
                <w:rFonts w:eastAsiaTheme="minorEastAsia" w:cstheme="minorBidi"/>
                <w:noProof/>
                <w:sz w:val="24"/>
                <w:szCs w:val="24"/>
              </w:rPr>
              <w:tab/>
            </w:r>
            <w:r w:rsidRPr="00185868">
              <w:rPr>
                <w:rStyle w:val="Hipervnculo"/>
                <w:noProof/>
              </w:rPr>
              <w:t>Descargos del 5 de agosto del 2009</w:t>
            </w:r>
            <w:r>
              <w:rPr>
                <w:noProof/>
                <w:webHidden/>
              </w:rPr>
              <w:tab/>
            </w:r>
            <w:r>
              <w:rPr>
                <w:noProof/>
                <w:webHidden/>
              </w:rPr>
              <w:fldChar w:fldCharType="begin"/>
            </w:r>
            <w:r>
              <w:rPr>
                <w:noProof/>
                <w:webHidden/>
              </w:rPr>
              <w:instrText xml:space="preserve"> PAGEREF _Toc47387715 \h </w:instrText>
            </w:r>
            <w:r>
              <w:rPr>
                <w:noProof/>
                <w:webHidden/>
              </w:rPr>
            </w:r>
            <w:r>
              <w:rPr>
                <w:noProof/>
                <w:webHidden/>
              </w:rPr>
              <w:fldChar w:fldCharType="separate"/>
            </w:r>
            <w:r>
              <w:rPr>
                <w:noProof/>
                <w:webHidden/>
              </w:rPr>
              <w:t>16</w:t>
            </w:r>
            <w:r>
              <w:rPr>
                <w:noProof/>
                <w:webHidden/>
              </w:rPr>
              <w:fldChar w:fldCharType="end"/>
            </w:r>
          </w:hyperlink>
        </w:p>
        <w:p w:rsidR="000F6FB8" w:rsidRDefault="000F6FB8">
          <w:pPr>
            <w:pStyle w:val="TDC4"/>
            <w:tabs>
              <w:tab w:val="left" w:pos="1440"/>
              <w:tab w:val="right" w:leader="dot" w:pos="8828"/>
            </w:tabs>
            <w:rPr>
              <w:rFonts w:eastAsiaTheme="minorEastAsia" w:cstheme="minorBidi"/>
              <w:noProof/>
              <w:sz w:val="24"/>
              <w:szCs w:val="24"/>
            </w:rPr>
          </w:pPr>
          <w:hyperlink w:anchor="_Toc47387716" w:history="1">
            <w:r w:rsidRPr="00185868">
              <w:rPr>
                <w:rStyle w:val="Hipervnculo"/>
                <w:noProof/>
              </w:rPr>
              <w:t>3.2.3.</w:t>
            </w:r>
            <w:r>
              <w:rPr>
                <w:rFonts w:eastAsiaTheme="minorEastAsia" w:cstheme="minorBidi"/>
                <w:noProof/>
                <w:sz w:val="24"/>
                <w:szCs w:val="24"/>
              </w:rPr>
              <w:tab/>
            </w:r>
            <w:r w:rsidRPr="00185868">
              <w:rPr>
                <w:rStyle w:val="Hipervnculo"/>
                <w:noProof/>
              </w:rPr>
              <w:t>Resolución 001-2010/CLC-INDECOPI del 7 de enero de 2010</w:t>
            </w:r>
            <w:r>
              <w:rPr>
                <w:noProof/>
                <w:webHidden/>
              </w:rPr>
              <w:tab/>
            </w:r>
            <w:r>
              <w:rPr>
                <w:noProof/>
                <w:webHidden/>
              </w:rPr>
              <w:fldChar w:fldCharType="begin"/>
            </w:r>
            <w:r>
              <w:rPr>
                <w:noProof/>
                <w:webHidden/>
              </w:rPr>
              <w:instrText xml:space="preserve"> PAGEREF _Toc47387716 \h </w:instrText>
            </w:r>
            <w:r>
              <w:rPr>
                <w:noProof/>
                <w:webHidden/>
              </w:rPr>
            </w:r>
            <w:r>
              <w:rPr>
                <w:noProof/>
                <w:webHidden/>
              </w:rPr>
              <w:fldChar w:fldCharType="separate"/>
            </w:r>
            <w:r>
              <w:rPr>
                <w:noProof/>
                <w:webHidden/>
              </w:rPr>
              <w:t>17</w:t>
            </w:r>
            <w:r>
              <w:rPr>
                <w:noProof/>
                <w:webHidden/>
              </w:rPr>
              <w:fldChar w:fldCharType="end"/>
            </w:r>
          </w:hyperlink>
        </w:p>
        <w:p w:rsidR="000F6FB8" w:rsidRDefault="000F6FB8">
          <w:pPr>
            <w:pStyle w:val="TDC4"/>
            <w:tabs>
              <w:tab w:val="left" w:pos="1440"/>
              <w:tab w:val="right" w:leader="dot" w:pos="8828"/>
            </w:tabs>
            <w:rPr>
              <w:rFonts w:eastAsiaTheme="minorEastAsia" w:cstheme="minorBidi"/>
              <w:noProof/>
              <w:sz w:val="24"/>
              <w:szCs w:val="24"/>
            </w:rPr>
          </w:pPr>
          <w:hyperlink w:anchor="_Toc47387717" w:history="1">
            <w:r w:rsidRPr="00185868">
              <w:rPr>
                <w:rStyle w:val="Hipervnculo"/>
                <w:noProof/>
              </w:rPr>
              <w:t>3.2.4.</w:t>
            </w:r>
            <w:r>
              <w:rPr>
                <w:rFonts w:eastAsiaTheme="minorEastAsia" w:cstheme="minorBidi"/>
                <w:noProof/>
                <w:sz w:val="24"/>
                <w:szCs w:val="24"/>
              </w:rPr>
              <w:tab/>
            </w:r>
            <w:r w:rsidRPr="00185868">
              <w:rPr>
                <w:rStyle w:val="Hipervnculo"/>
                <w:noProof/>
              </w:rPr>
              <w:t>Apelación del 3 de febrero de 2010</w:t>
            </w:r>
            <w:r>
              <w:rPr>
                <w:noProof/>
                <w:webHidden/>
              </w:rPr>
              <w:tab/>
            </w:r>
            <w:r>
              <w:rPr>
                <w:noProof/>
                <w:webHidden/>
              </w:rPr>
              <w:fldChar w:fldCharType="begin"/>
            </w:r>
            <w:r>
              <w:rPr>
                <w:noProof/>
                <w:webHidden/>
              </w:rPr>
              <w:instrText xml:space="preserve"> PAGEREF _Toc47387717 \h </w:instrText>
            </w:r>
            <w:r>
              <w:rPr>
                <w:noProof/>
                <w:webHidden/>
              </w:rPr>
            </w:r>
            <w:r>
              <w:rPr>
                <w:noProof/>
                <w:webHidden/>
              </w:rPr>
              <w:fldChar w:fldCharType="separate"/>
            </w:r>
            <w:r>
              <w:rPr>
                <w:noProof/>
                <w:webHidden/>
              </w:rPr>
              <w:t>19</w:t>
            </w:r>
            <w:r>
              <w:rPr>
                <w:noProof/>
                <w:webHidden/>
              </w:rPr>
              <w:fldChar w:fldCharType="end"/>
            </w:r>
          </w:hyperlink>
        </w:p>
        <w:p w:rsidR="000F6FB8" w:rsidRDefault="000F6FB8">
          <w:pPr>
            <w:pStyle w:val="TDC4"/>
            <w:tabs>
              <w:tab w:val="left" w:pos="1440"/>
              <w:tab w:val="right" w:leader="dot" w:pos="8828"/>
            </w:tabs>
            <w:rPr>
              <w:rFonts w:eastAsiaTheme="minorEastAsia" w:cstheme="minorBidi"/>
              <w:noProof/>
              <w:sz w:val="24"/>
              <w:szCs w:val="24"/>
            </w:rPr>
          </w:pPr>
          <w:hyperlink w:anchor="_Toc47387718" w:history="1">
            <w:r w:rsidRPr="00185868">
              <w:rPr>
                <w:rStyle w:val="Hipervnculo"/>
                <w:noProof/>
              </w:rPr>
              <w:t>3.2.5.</w:t>
            </w:r>
            <w:r>
              <w:rPr>
                <w:rFonts w:eastAsiaTheme="minorEastAsia" w:cstheme="minorBidi"/>
                <w:noProof/>
                <w:sz w:val="24"/>
                <w:szCs w:val="24"/>
              </w:rPr>
              <w:tab/>
            </w:r>
            <w:r w:rsidRPr="00185868">
              <w:rPr>
                <w:rStyle w:val="Hipervnculo"/>
                <w:noProof/>
              </w:rPr>
              <w:t>Resolución 0794-2011/SC1-INDECOPI del 5 de abril de 2011</w:t>
            </w:r>
            <w:r>
              <w:rPr>
                <w:noProof/>
                <w:webHidden/>
              </w:rPr>
              <w:tab/>
            </w:r>
            <w:r>
              <w:rPr>
                <w:noProof/>
                <w:webHidden/>
              </w:rPr>
              <w:fldChar w:fldCharType="begin"/>
            </w:r>
            <w:r>
              <w:rPr>
                <w:noProof/>
                <w:webHidden/>
              </w:rPr>
              <w:instrText xml:space="preserve"> PAGEREF _Toc47387718 \h </w:instrText>
            </w:r>
            <w:r>
              <w:rPr>
                <w:noProof/>
                <w:webHidden/>
              </w:rPr>
            </w:r>
            <w:r>
              <w:rPr>
                <w:noProof/>
                <w:webHidden/>
              </w:rPr>
              <w:fldChar w:fldCharType="separate"/>
            </w:r>
            <w:r>
              <w:rPr>
                <w:noProof/>
                <w:webHidden/>
              </w:rPr>
              <w:t>20</w:t>
            </w:r>
            <w:r>
              <w:rPr>
                <w:noProof/>
                <w:webHidden/>
              </w:rPr>
              <w:fldChar w:fldCharType="end"/>
            </w:r>
          </w:hyperlink>
        </w:p>
        <w:p w:rsidR="000F6FB8" w:rsidRDefault="000F6FB8">
          <w:pPr>
            <w:pStyle w:val="TDC1"/>
            <w:rPr>
              <w:rFonts w:eastAsiaTheme="minorEastAsia" w:cstheme="minorBidi"/>
              <w:b w:val="0"/>
              <w:bCs w:val="0"/>
              <w:caps w:val="0"/>
              <w:noProof/>
              <w:sz w:val="24"/>
              <w:szCs w:val="24"/>
            </w:rPr>
          </w:pPr>
          <w:hyperlink w:anchor="_Toc47387719" w:history="1">
            <w:r w:rsidRPr="00185868">
              <w:rPr>
                <w:rStyle w:val="Hipervnculo"/>
                <w:noProof/>
              </w:rPr>
              <w:t>4.</w:t>
            </w:r>
            <w:r>
              <w:rPr>
                <w:rFonts w:eastAsiaTheme="minorEastAsia" w:cstheme="minorBidi"/>
                <w:b w:val="0"/>
                <w:bCs w:val="0"/>
                <w:caps w:val="0"/>
                <w:noProof/>
                <w:sz w:val="24"/>
                <w:szCs w:val="24"/>
              </w:rPr>
              <w:tab/>
            </w:r>
            <w:r w:rsidRPr="00185868">
              <w:rPr>
                <w:rStyle w:val="Hipervnculo"/>
                <w:noProof/>
              </w:rPr>
              <w:t>Marco legal del control de concentraciones en el sector eléctrico</w:t>
            </w:r>
            <w:r>
              <w:rPr>
                <w:noProof/>
                <w:webHidden/>
              </w:rPr>
              <w:tab/>
            </w:r>
            <w:r>
              <w:rPr>
                <w:noProof/>
                <w:webHidden/>
              </w:rPr>
              <w:fldChar w:fldCharType="begin"/>
            </w:r>
            <w:r>
              <w:rPr>
                <w:noProof/>
                <w:webHidden/>
              </w:rPr>
              <w:instrText xml:space="preserve"> PAGEREF _Toc47387719 \h </w:instrText>
            </w:r>
            <w:r>
              <w:rPr>
                <w:noProof/>
                <w:webHidden/>
              </w:rPr>
            </w:r>
            <w:r>
              <w:rPr>
                <w:noProof/>
                <w:webHidden/>
              </w:rPr>
              <w:fldChar w:fldCharType="separate"/>
            </w:r>
            <w:r>
              <w:rPr>
                <w:noProof/>
                <w:webHidden/>
              </w:rPr>
              <w:t>21</w:t>
            </w:r>
            <w:r>
              <w:rPr>
                <w:noProof/>
                <w:webHidden/>
              </w:rPr>
              <w:fldChar w:fldCharType="end"/>
            </w:r>
          </w:hyperlink>
        </w:p>
        <w:p w:rsidR="000F6FB8" w:rsidRDefault="000F6FB8">
          <w:pPr>
            <w:pStyle w:val="TDC1"/>
            <w:rPr>
              <w:rFonts w:eastAsiaTheme="minorEastAsia" w:cstheme="minorBidi"/>
              <w:b w:val="0"/>
              <w:bCs w:val="0"/>
              <w:caps w:val="0"/>
              <w:noProof/>
              <w:sz w:val="24"/>
              <w:szCs w:val="24"/>
            </w:rPr>
          </w:pPr>
          <w:hyperlink w:anchor="_Toc47387720" w:history="1">
            <w:r w:rsidRPr="00185868">
              <w:rPr>
                <w:rStyle w:val="Hipervnculo"/>
                <w:noProof/>
              </w:rPr>
              <w:t>4.1.</w:t>
            </w:r>
            <w:r>
              <w:rPr>
                <w:rFonts w:eastAsiaTheme="minorEastAsia" w:cstheme="minorBidi"/>
                <w:b w:val="0"/>
                <w:bCs w:val="0"/>
                <w:caps w:val="0"/>
                <w:noProof/>
                <w:sz w:val="24"/>
                <w:szCs w:val="24"/>
              </w:rPr>
              <w:tab/>
            </w:r>
            <w:r w:rsidRPr="00185868">
              <w:rPr>
                <w:rStyle w:val="Hipervnculo"/>
                <w:noProof/>
              </w:rPr>
              <w:t>Reformas en el sector eléctrico</w:t>
            </w:r>
            <w:r>
              <w:rPr>
                <w:noProof/>
                <w:webHidden/>
              </w:rPr>
              <w:tab/>
            </w:r>
            <w:r>
              <w:rPr>
                <w:noProof/>
                <w:webHidden/>
              </w:rPr>
              <w:fldChar w:fldCharType="begin"/>
            </w:r>
            <w:r>
              <w:rPr>
                <w:noProof/>
                <w:webHidden/>
              </w:rPr>
              <w:instrText xml:space="preserve"> PAGEREF _Toc47387720 \h </w:instrText>
            </w:r>
            <w:r>
              <w:rPr>
                <w:noProof/>
                <w:webHidden/>
              </w:rPr>
            </w:r>
            <w:r>
              <w:rPr>
                <w:noProof/>
                <w:webHidden/>
              </w:rPr>
              <w:fldChar w:fldCharType="separate"/>
            </w:r>
            <w:r>
              <w:rPr>
                <w:noProof/>
                <w:webHidden/>
              </w:rPr>
              <w:t>22</w:t>
            </w:r>
            <w:r>
              <w:rPr>
                <w:noProof/>
                <w:webHidden/>
              </w:rPr>
              <w:fldChar w:fldCharType="end"/>
            </w:r>
          </w:hyperlink>
        </w:p>
        <w:p w:rsidR="000F6FB8" w:rsidRDefault="000F6FB8">
          <w:pPr>
            <w:pStyle w:val="TDC2"/>
            <w:tabs>
              <w:tab w:val="left" w:pos="960"/>
              <w:tab w:val="right" w:leader="dot" w:pos="8828"/>
            </w:tabs>
            <w:rPr>
              <w:rFonts w:eastAsiaTheme="minorEastAsia" w:cstheme="minorBidi"/>
              <w:smallCaps w:val="0"/>
              <w:noProof/>
              <w:sz w:val="24"/>
              <w:szCs w:val="24"/>
            </w:rPr>
          </w:pPr>
          <w:hyperlink w:anchor="_Toc47387721" w:history="1">
            <w:r w:rsidRPr="00185868">
              <w:rPr>
                <w:rStyle w:val="Hipervnculo"/>
                <w:noProof/>
              </w:rPr>
              <w:t>4.2.</w:t>
            </w:r>
            <w:r>
              <w:rPr>
                <w:rFonts w:eastAsiaTheme="minorEastAsia" w:cstheme="minorBidi"/>
                <w:smallCaps w:val="0"/>
                <w:noProof/>
                <w:sz w:val="24"/>
                <w:szCs w:val="24"/>
              </w:rPr>
              <w:tab/>
            </w:r>
            <w:r w:rsidRPr="00185868">
              <w:rPr>
                <w:rStyle w:val="Hipervnculo"/>
                <w:noProof/>
              </w:rPr>
              <w:t>Política de Competencia</w:t>
            </w:r>
            <w:r>
              <w:rPr>
                <w:noProof/>
                <w:webHidden/>
              </w:rPr>
              <w:tab/>
            </w:r>
            <w:r>
              <w:rPr>
                <w:noProof/>
                <w:webHidden/>
              </w:rPr>
              <w:fldChar w:fldCharType="begin"/>
            </w:r>
            <w:r>
              <w:rPr>
                <w:noProof/>
                <w:webHidden/>
              </w:rPr>
              <w:instrText xml:space="preserve"> PAGEREF _Toc47387721 \h </w:instrText>
            </w:r>
            <w:r>
              <w:rPr>
                <w:noProof/>
                <w:webHidden/>
              </w:rPr>
            </w:r>
            <w:r>
              <w:rPr>
                <w:noProof/>
                <w:webHidden/>
              </w:rPr>
              <w:fldChar w:fldCharType="separate"/>
            </w:r>
            <w:r>
              <w:rPr>
                <w:noProof/>
                <w:webHidden/>
              </w:rPr>
              <w:t>24</w:t>
            </w:r>
            <w:r>
              <w:rPr>
                <w:noProof/>
                <w:webHidden/>
              </w:rPr>
              <w:fldChar w:fldCharType="end"/>
            </w:r>
          </w:hyperlink>
        </w:p>
        <w:p w:rsidR="000F6FB8" w:rsidRDefault="000F6FB8">
          <w:pPr>
            <w:pStyle w:val="TDC2"/>
            <w:tabs>
              <w:tab w:val="left" w:pos="960"/>
              <w:tab w:val="right" w:leader="dot" w:pos="8828"/>
            </w:tabs>
            <w:rPr>
              <w:rFonts w:eastAsiaTheme="minorEastAsia" w:cstheme="minorBidi"/>
              <w:smallCaps w:val="0"/>
              <w:noProof/>
              <w:sz w:val="24"/>
              <w:szCs w:val="24"/>
            </w:rPr>
          </w:pPr>
          <w:hyperlink w:anchor="_Toc47387722" w:history="1">
            <w:r w:rsidRPr="00185868">
              <w:rPr>
                <w:rStyle w:val="Hipervnculo"/>
                <w:noProof/>
              </w:rPr>
              <w:t>4.3.</w:t>
            </w:r>
            <w:r>
              <w:rPr>
                <w:rFonts w:eastAsiaTheme="minorEastAsia" w:cstheme="minorBidi"/>
                <w:smallCaps w:val="0"/>
                <w:noProof/>
                <w:sz w:val="24"/>
                <w:szCs w:val="24"/>
              </w:rPr>
              <w:tab/>
            </w:r>
            <w:r w:rsidRPr="00185868">
              <w:rPr>
                <w:rStyle w:val="Hipervnculo"/>
                <w:noProof/>
              </w:rPr>
              <w:t>Herramienta preventiva de la competencia: Ley 26876</w:t>
            </w:r>
            <w:r>
              <w:rPr>
                <w:noProof/>
                <w:webHidden/>
              </w:rPr>
              <w:tab/>
            </w:r>
            <w:r>
              <w:rPr>
                <w:noProof/>
                <w:webHidden/>
              </w:rPr>
              <w:fldChar w:fldCharType="begin"/>
            </w:r>
            <w:r>
              <w:rPr>
                <w:noProof/>
                <w:webHidden/>
              </w:rPr>
              <w:instrText xml:space="preserve"> PAGEREF _Toc47387722 \h </w:instrText>
            </w:r>
            <w:r>
              <w:rPr>
                <w:noProof/>
                <w:webHidden/>
              </w:rPr>
            </w:r>
            <w:r>
              <w:rPr>
                <w:noProof/>
                <w:webHidden/>
              </w:rPr>
              <w:fldChar w:fldCharType="separate"/>
            </w:r>
            <w:r>
              <w:rPr>
                <w:noProof/>
                <w:webHidden/>
              </w:rPr>
              <w:t>29</w:t>
            </w:r>
            <w:r>
              <w:rPr>
                <w:noProof/>
                <w:webHidden/>
              </w:rPr>
              <w:fldChar w:fldCharType="end"/>
            </w:r>
          </w:hyperlink>
        </w:p>
        <w:p w:rsidR="000F6FB8" w:rsidRDefault="000F6FB8">
          <w:pPr>
            <w:pStyle w:val="TDC1"/>
            <w:rPr>
              <w:rFonts w:eastAsiaTheme="minorEastAsia" w:cstheme="minorBidi"/>
              <w:b w:val="0"/>
              <w:bCs w:val="0"/>
              <w:caps w:val="0"/>
              <w:noProof/>
              <w:sz w:val="24"/>
              <w:szCs w:val="24"/>
            </w:rPr>
          </w:pPr>
          <w:hyperlink w:anchor="_Toc47387723" w:history="1">
            <w:r w:rsidRPr="00185868">
              <w:rPr>
                <w:rStyle w:val="Hipervnculo"/>
                <w:noProof/>
              </w:rPr>
              <w:t>5.</w:t>
            </w:r>
            <w:r>
              <w:rPr>
                <w:rFonts w:eastAsiaTheme="minorEastAsia" w:cstheme="minorBidi"/>
                <w:b w:val="0"/>
                <w:bCs w:val="0"/>
                <w:caps w:val="0"/>
                <w:noProof/>
                <w:sz w:val="24"/>
                <w:szCs w:val="24"/>
              </w:rPr>
              <w:tab/>
            </w:r>
            <w:r w:rsidRPr="00185868">
              <w:rPr>
                <w:rStyle w:val="Hipervnculo"/>
                <w:noProof/>
              </w:rPr>
              <w:t>Análisis de los problemas jurídicos.</w:t>
            </w:r>
            <w:r>
              <w:rPr>
                <w:noProof/>
                <w:webHidden/>
              </w:rPr>
              <w:tab/>
            </w:r>
            <w:r>
              <w:rPr>
                <w:noProof/>
                <w:webHidden/>
              </w:rPr>
              <w:fldChar w:fldCharType="begin"/>
            </w:r>
            <w:r>
              <w:rPr>
                <w:noProof/>
                <w:webHidden/>
              </w:rPr>
              <w:instrText xml:space="preserve"> PAGEREF _Toc47387723 \h </w:instrText>
            </w:r>
            <w:r>
              <w:rPr>
                <w:noProof/>
                <w:webHidden/>
              </w:rPr>
            </w:r>
            <w:r>
              <w:rPr>
                <w:noProof/>
                <w:webHidden/>
              </w:rPr>
              <w:fldChar w:fldCharType="separate"/>
            </w:r>
            <w:r>
              <w:rPr>
                <w:noProof/>
                <w:webHidden/>
              </w:rPr>
              <w:t>34</w:t>
            </w:r>
            <w:r>
              <w:rPr>
                <w:noProof/>
                <w:webHidden/>
              </w:rPr>
              <w:fldChar w:fldCharType="end"/>
            </w:r>
          </w:hyperlink>
        </w:p>
        <w:p w:rsidR="000F6FB8" w:rsidRDefault="000F6FB8">
          <w:pPr>
            <w:pStyle w:val="TDC2"/>
            <w:tabs>
              <w:tab w:val="left" w:pos="960"/>
              <w:tab w:val="right" w:leader="dot" w:pos="8828"/>
            </w:tabs>
            <w:rPr>
              <w:rFonts w:eastAsiaTheme="minorEastAsia" w:cstheme="minorBidi"/>
              <w:smallCaps w:val="0"/>
              <w:noProof/>
              <w:sz w:val="24"/>
              <w:szCs w:val="24"/>
            </w:rPr>
          </w:pPr>
          <w:hyperlink w:anchor="_Toc47387724" w:history="1">
            <w:r w:rsidRPr="00185868">
              <w:rPr>
                <w:rStyle w:val="Hipervnculo"/>
                <w:noProof/>
              </w:rPr>
              <w:t>5.1.</w:t>
            </w:r>
            <w:r>
              <w:rPr>
                <w:rFonts w:eastAsiaTheme="minorEastAsia" w:cstheme="minorBidi"/>
                <w:smallCaps w:val="0"/>
                <w:noProof/>
                <w:sz w:val="24"/>
                <w:szCs w:val="24"/>
              </w:rPr>
              <w:tab/>
            </w:r>
            <w:r w:rsidRPr="00185868">
              <w:rPr>
                <w:rStyle w:val="Hipervnculo"/>
                <w:noProof/>
              </w:rPr>
              <w:t>Sobre los aspectos formales del procedimiento administrativo sancionador.</w:t>
            </w:r>
            <w:r>
              <w:rPr>
                <w:noProof/>
                <w:webHidden/>
              </w:rPr>
              <w:tab/>
            </w:r>
            <w:r>
              <w:rPr>
                <w:noProof/>
                <w:webHidden/>
              </w:rPr>
              <w:fldChar w:fldCharType="begin"/>
            </w:r>
            <w:r>
              <w:rPr>
                <w:noProof/>
                <w:webHidden/>
              </w:rPr>
              <w:instrText xml:space="preserve"> PAGEREF _Toc47387724 \h </w:instrText>
            </w:r>
            <w:r>
              <w:rPr>
                <w:noProof/>
                <w:webHidden/>
              </w:rPr>
            </w:r>
            <w:r>
              <w:rPr>
                <w:noProof/>
                <w:webHidden/>
              </w:rPr>
              <w:fldChar w:fldCharType="separate"/>
            </w:r>
            <w:r>
              <w:rPr>
                <w:noProof/>
                <w:webHidden/>
              </w:rPr>
              <w:t>35</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25" w:history="1">
            <w:r w:rsidRPr="00185868">
              <w:rPr>
                <w:rStyle w:val="Hipervnculo"/>
                <w:noProof/>
              </w:rPr>
              <w:t>5.1.2.</w:t>
            </w:r>
            <w:r>
              <w:rPr>
                <w:rFonts w:eastAsiaTheme="minorEastAsia" w:cstheme="minorBidi"/>
                <w:i w:val="0"/>
                <w:iCs w:val="0"/>
                <w:noProof/>
                <w:sz w:val="24"/>
                <w:szCs w:val="24"/>
              </w:rPr>
              <w:tab/>
            </w:r>
            <w:r w:rsidRPr="00185868">
              <w:rPr>
                <w:rStyle w:val="Hipervnculo"/>
                <w:noProof/>
              </w:rPr>
              <w:t>Las garantías mínimas de la potestad sancionadora</w:t>
            </w:r>
            <w:r>
              <w:rPr>
                <w:noProof/>
                <w:webHidden/>
              </w:rPr>
              <w:tab/>
            </w:r>
            <w:r>
              <w:rPr>
                <w:noProof/>
                <w:webHidden/>
              </w:rPr>
              <w:fldChar w:fldCharType="begin"/>
            </w:r>
            <w:r>
              <w:rPr>
                <w:noProof/>
                <w:webHidden/>
              </w:rPr>
              <w:instrText xml:space="preserve"> PAGEREF _Toc47387725 \h </w:instrText>
            </w:r>
            <w:r>
              <w:rPr>
                <w:noProof/>
                <w:webHidden/>
              </w:rPr>
            </w:r>
            <w:r>
              <w:rPr>
                <w:noProof/>
                <w:webHidden/>
              </w:rPr>
              <w:fldChar w:fldCharType="separate"/>
            </w:r>
            <w:r>
              <w:rPr>
                <w:noProof/>
                <w:webHidden/>
              </w:rPr>
              <w:t>37</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26" w:history="1">
            <w:r w:rsidRPr="00185868">
              <w:rPr>
                <w:rStyle w:val="Hipervnculo"/>
                <w:noProof/>
              </w:rPr>
              <w:t>5.1.3.</w:t>
            </w:r>
            <w:r>
              <w:rPr>
                <w:rFonts w:eastAsiaTheme="minorEastAsia" w:cstheme="minorBidi"/>
                <w:i w:val="0"/>
                <w:iCs w:val="0"/>
                <w:noProof/>
                <w:sz w:val="24"/>
                <w:szCs w:val="24"/>
              </w:rPr>
              <w:tab/>
            </w:r>
            <w:r w:rsidRPr="00185868">
              <w:rPr>
                <w:rStyle w:val="Hipervnculo"/>
                <w:noProof/>
              </w:rPr>
              <w:t>Sobre la separación funcional, ¿puede la Comisión iniciar y sancionar?</w:t>
            </w:r>
            <w:r>
              <w:rPr>
                <w:noProof/>
                <w:webHidden/>
              </w:rPr>
              <w:tab/>
            </w:r>
            <w:r>
              <w:rPr>
                <w:noProof/>
                <w:webHidden/>
              </w:rPr>
              <w:fldChar w:fldCharType="begin"/>
            </w:r>
            <w:r>
              <w:rPr>
                <w:noProof/>
                <w:webHidden/>
              </w:rPr>
              <w:instrText xml:space="preserve"> PAGEREF _Toc47387726 \h </w:instrText>
            </w:r>
            <w:r>
              <w:rPr>
                <w:noProof/>
                <w:webHidden/>
              </w:rPr>
            </w:r>
            <w:r>
              <w:rPr>
                <w:noProof/>
                <w:webHidden/>
              </w:rPr>
              <w:fldChar w:fldCharType="separate"/>
            </w:r>
            <w:r>
              <w:rPr>
                <w:noProof/>
                <w:webHidden/>
              </w:rPr>
              <w:t>39</w:t>
            </w:r>
            <w:r>
              <w:rPr>
                <w:noProof/>
                <w:webHidden/>
              </w:rPr>
              <w:fldChar w:fldCharType="end"/>
            </w:r>
          </w:hyperlink>
        </w:p>
        <w:p w:rsidR="000F6FB8" w:rsidRDefault="000F6FB8">
          <w:pPr>
            <w:pStyle w:val="TDC4"/>
            <w:tabs>
              <w:tab w:val="left" w:pos="1680"/>
              <w:tab w:val="right" w:leader="dot" w:pos="8828"/>
            </w:tabs>
            <w:rPr>
              <w:rFonts w:eastAsiaTheme="minorEastAsia" w:cstheme="minorBidi"/>
              <w:noProof/>
              <w:sz w:val="24"/>
              <w:szCs w:val="24"/>
            </w:rPr>
          </w:pPr>
          <w:hyperlink w:anchor="_Toc47387727" w:history="1">
            <w:r w:rsidRPr="00185868">
              <w:rPr>
                <w:rStyle w:val="Hipervnculo"/>
                <w:noProof/>
              </w:rPr>
              <w:t>5.1.3.1.</w:t>
            </w:r>
            <w:r>
              <w:rPr>
                <w:rFonts w:eastAsiaTheme="minorEastAsia" w:cstheme="minorBidi"/>
                <w:noProof/>
                <w:sz w:val="24"/>
                <w:szCs w:val="24"/>
              </w:rPr>
              <w:tab/>
            </w:r>
            <w:r w:rsidRPr="00185868">
              <w:rPr>
                <w:rStyle w:val="Hipervnculo"/>
                <w:noProof/>
              </w:rPr>
              <w:t>La Ley 26876 y el Reglamento sobre el inicio de los procedimientos administrativos sancionadores</w:t>
            </w:r>
            <w:r>
              <w:rPr>
                <w:noProof/>
                <w:webHidden/>
              </w:rPr>
              <w:tab/>
            </w:r>
            <w:r>
              <w:rPr>
                <w:noProof/>
                <w:webHidden/>
              </w:rPr>
              <w:fldChar w:fldCharType="begin"/>
            </w:r>
            <w:r>
              <w:rPr>
                <w:noProof/>
                <w:webHidden/>
              </w:rPr>
              <w:instrText xml:space="preserve"> PAGEREF _Toc47387727 \h </w:instrText>
            </w:r>
            <w:r>
              <w:rPr>
                <w:noProof/>
                <w:webHidden/>
              </w:rPr>
            </w:r>
            <w:r>
              <w:rPr>
                <w:noProof/>
                <w:webHidden/>
              </w:rPr>
              <w:fldChar w:fldCharType="separate"/>
            </w:r>
            <w:r>
              <w:rPr>
                <w:noProof/>
                <w:webHidden/>
              </w:rPr>
              <w:t>39</w:t>
            </w:r>
            <w:r>
              <w:rPr>
                <w:noProof/>
                <w:webHidden/>
              </w:rPr>
              <w:fldChar w:fldCharType="end"/>
            </w:r>
          </w:hyperlink>
        </w:p>
        <w:p w:rsidR="000F6FB8" w:rsidRDefault="000F6FB8">
          <w:pPr>
            <w:pStyle w:val="TDC4"/>
            <w:tabs>
              <w:tab w:val="left" w:pos="1680"/>
              <w:tab w:val="right" w:leader="dot" w:pos="8828"/>
            </w:tabs>
            <w:rPr>
              <w:rFonts w:eastAsiaTheme="minorEastAsia" w:cstheme="minorBidi"/>
              <w:noProof/>
              <w:sz w:val="24"/>
              <w:szCs w:val="24"/>
            </w:rPr>
          </w:pPr>
          <w:hyperlink w:anchor="_Toc47387728" w:history="1">
            <w:r w:rsidRPr="00185868">
              <w:rPr>
                <w:rStyle w:val="Hipervnculo"/>
                <w:noProof/>
              </w:rPr>
              <w:t>5.1.3.2.</w:t>
            </w:r>
            <w:r>
              <w:rPr>
                <w:rFonts w:eastAsiaTheme="minorEastAsia" w:cstheme="minorBidi"/>
                <w:noProof/>
                <w:sz w:val="24"/>
                <w:szCs w:val="24"/>
              </w:rPr>
              <w:tab/>
            </w:r>
            <w:r w:rsidRPr="00185868">
              <w:rPr>
                <w:rStyle w:val="Hipervnculo"/>
                <w:noProof/>
              </w:rPr>
              <w:t>El caso concreto, ¿era la Comisión el órgano competente para iniciar los procedimientos de infracciones a la Ley 26876?</w:t>
            </w:r>
            <w:r>
              <w:rPr>
                <w:noProof/>
                <w:webHidden/>
              </w:rPr>
              <w:tab/>
            </w:r>
            <w:r>
              <w:rPr>
                <w:noProof/>
                <w:webHidden/>
              </w:rPr>
              <w:fldChar w:fldCharType="begin"/>
            </w:r>
            <w:r>
              <w:rPr>
                <w:noProof/>
                <w:webHidden/>
              </w:rPr>
              <w:instrText xml:space="preserve"> PAGEREF _Toc47387728 \h </w:instrText>
            </w:r>
            <w:r>
              <w:rPr>
                <w:noProof/>
                <w:webHidden/>
              </w:rPr>
            </w:r>
            <w:r>
              <w:rPr>
                <w:noProof/>
                <w:webHidden/>
              </w:rPr>
              <w:fldChar w:fldCharType="separate"/>
            </w:r>
            <w:r>
              <w:rPr>
                <w:noProof/>
                <w:webHidden/>
              </w:rPr>
              <w:t>40</w:t>
            </w:r>
            <w:r>
              <w:rPr>
                <w:noProof/>
                <w:webHidden/>
              </w:rPr>
              <w:fldChar w:fldCharType="end"/>
            </w:r>
          </w:hyperlink>
        </w:p>
        <w:p w:rsidR="000F6FB8" w:rsidRDefault="000F6FB8">
          <w:pPr>
            <w:pStyle w:val="TDC4"/>
            <w:tabs>
              <w:tab w:val="left" w:pos="1680"/>
              <w:tab w:val="right" w:leader="dot" w:pos="8828"/>
            </w:tabs>
            <w:rPr>
              <w:rFonts w:eastAsiaTheme="minorEastAsia" w:cstheme="minorBidi"/>
              <w:noProof/>
              <w:sz w:val="24"/>
              <w:szCs w:val="24"/>
            </w:rPr>
          </w:pPr>
          <w:hyperlink w:anchor="_Toc47387729" w:history="1">
            <w:r w:rsidRPr="00185868">
              <w:rPr>
                <w:rStyle w:val="Hipervnculo"/>
                <w:noProof/>
              </w:rPr>
              <w:t>5.1.3.2.1.</w:t>
            </w:r>
            <w:r>
              <w:rPr>
                <w:rFonts w:eastAsiaTheme="minorEastAsia" w:cstheme="minorBidi"/>
                <w:noProof/>
                <w:sz w:val="24"/>
                <w:szCs w:val="24"/>
              </w:rPr>
              <w:tab/>
            </w:r>
            <w:r w:rsidRPr="00185868">
              <w:rPr>
                <w:rStyle w:val="Hipervnculo"/>
                <w:noProof/>
              </w:rPr>
              <w:t>El inicio del procedimiento administrativo sancionador en  el control de conductas,  Decreto Legislativo 701 y Decreto Legislativo 1034.</w:t>
            </w:r>
            <w:r>
              <w:rPr>
                <w:noProof/>
                <w:webHidden/>
              </w:rPr>
              <w:tab/>
            </w:r>
            <w:r>
              <w:rPr>
                <w:noProof/>
                <w:webHidden/>
              </w:rPr>
              <w:fldChar w:fldCharType="begin"/>
            </w:r>
            <w:r>
              <w:rPr>
                <w:noProof/>
                <w:webHidden/>
              </w:rPr>
              <w:instrText xml:space="preserve"> PAGEREF _Toc47387729 \h </w:instrText>
            </w:r>
            <w:r>
              <w:rPr>
                <w:noProof/>
                <w:webHidden/>
              </w:rPr>
            </w:r>
            <w:r>
              <w:rPr>
                <w:noProof/>
                <w:webHidden/>
              </w:rPr>
              <w:fldChar w:fldCharType="separate"/>
            </w:r>
            <w:r>
              <w:rPr>
                <w:noProof/>
                <w:webHidden/>
              </w:rPr>
              <w:t>41</w:t>
            </w:r>
            <w:r>
              <w:rPr>
                <w:noProof/>
                <w:webHidden/>
              </w:rPr>
              <w:fldChar w:fldCharType="end"/>
            </w:r>
          </w:hyperlink>
        </w:p>
        <w:p w:rsidR="000F6FB8" w:rsidRDefault="000F6FB8">
          <w:pPr>
            <w:pStyle w:val="TDC4"/>
            <w:tabs>
              <w:tab w:val="left" w:pos="1680"/>
              <w:tab w:val="right" w:leader="dot" w:pos="8828"/>
            </w:tabs>
            <w:rPr>
              <w:rFonts w:eastAsiaTheme="minorEastAsia" w:cstheme="minorBidi"/>
              <w:noProof/>
              <w:sz w:val="24"/>
              <w:szCs w:val="24"/>
            </w:rPr>
          </w:pPr>
          <w:hyperlink w:anchor="_Toc47387730" w:history="1">
            <w:r w:rsidRPr="00185868">
              <w:rPr>
                <w:rStyle w:val="Hipervnculo"/>
                <w:noProof/>
              </w:rPr>
              <w:t>5.1.3.2.2.</w:t>
            </w:r>
            <w:r>
              <w:rPr>
                <w:rFonts w:eastAsiaTheme="minorEastAsia" w:cstheme="minorBidi"/>
                <w:noProof/>
                <w:sz w:val="24"/>
                <w:szCs w:val="24"/>
              </w:rPr>
              <w:tab/>
            </w:r>
            <w:r w:rsidRPr="00185868">
              <w:rPr>
                <w:rStyle w:val="Hipervnculo"/>
                <w:noProof/>
              </w:rPr>
              <w:t>¿Permitía la organización del Indecopi la separación funcional?</w:t>
            </w:r>
            <w:r>
              <w:rPr>
                <w:noProof/>
                <w:webHidden/>
              </w:rPr>
              <w:tab/>
            </w:r>
            <w:r>
              <w:rPr>
                <w:noProof/>
                <w:webHidden/>
              </w:rPr>
              <w:fldChar w:fldCharType="begin"/>
            </w:r>
            <w:r>
              <w:rPr>
                <w:noProof/>
                <w:webHidden/>
              </w:rPr>
              <w:instrText xml:space="preserve"> PAGEREF _Toc47387730 \h </w:instrText>
            </w:r>
            <w:r>
              <w:rPr>
                <w:noProof/>
                <w:webHidden/>
              </w:rPr>
            </w:r>
            <w:r>
              <w:rPr>
                <w:noProof/>
                <w:webHidden/>
              </w:rPr>
              <w:fldChar w:fldCharType="separate"/>
            </w:r>
            <w:r>
              <w:rPr>
                <w:noProof/>
                <w:webHidden/>
              </w:rPr>
              <w:t>44</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31" w:history="1">
            <w:r w:rsidRPr="00185868">
              <w:rPr>
                <w:rStyle w:val="Hipervnculo"/>
                <w:noProof/>
              </w:rPr>
              <w:t>5.2.</w:t>
            </w:r>
            <w:r>
              <w:rPr>
                <w:rFonts w:eastAsiaTheme="minorEastAsia" w:cstheme="minorBidi"/>
                <w:i w:val="0"/>
                <w:iCs w:val="0"/>
                <w:noProof/>
                <w:sz w:val="24"/>
                <w:szCs w:val="24"/>
              </w:rPr>
              <w:tab/>
            </w:r>
            <w:r w:rsidRPr="00185868">
              <w:rPr>
                <w:rStyle w:val="Hipervnculo"/>
                <w:noProof/>
              </w:rPr>
              <w:t>Sobre la tipicidad, ¿es clara la infracción del artículo 6 de la Ley 26876?</w:t>
            </w:r>
            <w:r>
              <w:rPr>
                <w:noProof/>
                <w:webHidden/>
              </w:rPr>
              <w:tab/>
            </w:r>
            <w:r>
              <w:rPr>
                <w:noProof/>
                <w:webHidden/>
              </w:rPr>
              <w:fldChar w:fldCharType="begin"/>
            </w:r>
            <w:r>
              <w:rPr>
                <w:noProof/>
                <w:webHidden/>
              </w:rPr>
              <w:instrText xml:space="preserve"> PAGEREF _Toc47387731 \h </w:instrText>
            </w:r>
            <w:r>
              <w:rPr>
                <w:noProof/>
                <w:webHidden/>
              </w:rPr>
            </w:r>
            <w:r>
              <w:rPr>
                <w:noProof/>
                <w:webHidden/>
              </w:rPr>
              <w:fldChar w:fldCharType="separate"/>
            </w:r>
            <w:r>
              <w:rPr>
                <w:noProof/>
                <w:webHidden/>
              </w:rPr>
              <w:t>47</w:t>
            </w:r>
            <w:r>
              <w:rPr>
                <w:noProof/>
                <w:webHidden/>
              </w:rPr>
              <w:fldChar w:fldCharType="end"/>
            </w:r>
          </w:hyperlink>
        </w:p>
        <w:p w:rsidR="000F6FB8" w:rsidRDefault="000F6FB8">
          <w:pPr>
            <w:pStyle w:val="TDC3"/>
            <w:tabs>
              <w:tab w:val="left" w:pos="1440"/>
              <w:tab w:val="right" w:leader="dot" w:pos="8828"/>
            </w:tabs>
            <w:rPr>
              <w:rFonts w:eastAsiaTheme="minorEastAsia" w:cstheme="minorBidi"/>
              <w:i w:val="0"/>
              <w:iCs w:val="0"/>
              <w:noProof/>
              <w:sz w:val="24"/>
              <w:szCs w:val="24"/>
            </w:rPr>
          </w:pPr>
          <w:hyperlink w:anchor="_Toc47387732" w:history="1">
            <w:r w:rsidRPr="00185868">
              <w:rPr>
                <w:rStyle w:val="Hipervnculo"/>
                <w:noProof/>
              </w:rPr>
              <w:t>5.2.1.1.</w:t>
            </w:r>
            <w:r>
              <w:rPr>
                <w:rFonts w:eastAsiaTheme="minorEastAsia" w:cstheme="minorBidi"/>
                <w:i w:val="0"/>
                <w:iCs w:val="0"/>
                <w:noProof/>
                <w:sz w:val="24"/>
                <w:szCs w:val="24"/>
              </w:rPr>
              <w:tab/>
            </w:r>
            <w:r w:rsidRPr="00185868">
              <w:rPr>
                <w:rStyle w:val="Hipervnculo"/>
                <w:noProof/>
              </w:rPr>
              <w:t>¿Qué es el principio de tipicidad en el procedimiento administrativo sancionador?</w:t>
            </w:r>
            <w:r>
              <w:rPr>
                <w:noProof/>
                <w:webHidden/>
              </w:rPr>
              <w:tab/>
            </w:r>
            <w:r>
              <w:rPr>
                <w:noProof/>
                <w:webHidden/>
              </w:rPr>
              <w:fldChar w:fldCharType="begin"/>
            </w:r>
            <w:r>
              <w:rPr>
                <w:noProof/>
                <w:webHidden/>
              </w:rPr>
              <w:instrText xml:space="preserve"> PAGEREF _Toc47387732 \h </w:instrText>
            </w:r>
            <w:r>
              <w:rPr>
                <w:noProof/>
                <w:webHidden/>
              </w:rPr>
            </w:r>
            <w:r>
              <w:rPr>
                <w:noProof/>
                <w:webHidden/>
              </w:rPr>
              <w:fldChar w:fldCharType="separate"/>
            </w:r>
            <w:r>
              <w:rPr>
                <w:noProof/>
                <w:webHidden/>
              </w:rPr>
              <w:t>47</w:t>
            </w:r>
            <w:r>
              <w:rPr>
                <w:noProof/>
                <w:webHidden/>
              </w:rPr>
              <w:fldChar w:fldCharType="end"/>
            </w:r>
          </w:hyperlink>
        </w:p>
        <w:p w:rsidR="000F6FB8" w:rsidRDefault="000F6FB8">
          <w:pPr>
            <w:pStyle w:val="TDC3"/>
            <w:tabs>
              <w:tab w:val="left" w:pos="1440"/>
              <w:tab w:val="right" w:leader="dot" w:pos="8828"/>
            </w:tabs>
            <w:rPr>
              <w:rFonts w:eastAsiaTheme="minorEastAsia" w:cstheme="minorBidi"/>
              <w:i w:val="0"/>
              <w:iCs w:val="0"/>
              <w:noProof/>
              <w:sz w:val="24"/>
              <w:szCs w:val="24"/>
            </w:rPr>
          </w:pPr>
          <w:hyperlink w:anchor="_Toc47387733" w:history="1">
            <w:r w:rsidRPr="00185868">
              <w:rPr>
                <w:rStyle w:val="Hipervnculo"/>
                <w:noProof/>
              </w:rPr>
              <w:t>5.2.1.2.</w:t>
            </w:r>
            <w:r>
              <w:rPr>
                <w:rFonts w:eastAsiaTheme="minorEastAsia" w:cstheme="minorBidi"/>
                <w:i w:val="0"/>
                <w:iCs w:val="0"/>
                <w:noProof/>
                <w:sz w:val="24"/>
                <w:szCs w:val="24"/>
              </w:rPr>
              <w:tab/>
            </w:r>
            <w:r w:rsidRPr="00185868">
              <w:rPr>
                <w:rStyle w:val="Hipervnculo"/>
                <w:noProof/>
              </w:rPr>
              <w:t>Tipicidad en la Ley 26876</w:t>
            </w:r>
            <w:r>
              <w:rPr>
                <w:noProof/>
                <w:webHidden/>
              </w:rPr>
              <w:tab/>
            </w:r>
            <w:r>
              <w:rPr>
                <w:noProof/>
                <w:webHidden/>
              </w:rPr>
              <w:fldChar w:fldCharType="begin"/>
            </w:r>
            <w:r>
              <w:rPr>
                <w:noProof/>
                <w:webHidden/>
              </w:rPr>
              <w:instrText xml:space="preserve"> PAGEREF _Toc47387733 \h </w:instrText>
            </w:r>
            <w:r>
              <w:rPr>
                <w:noProof/>
                <w:webHidden/>
              </w:rPr>
            </w:r>
            <w:r>
              <w:rPr>
                <w:noProof/>
                <w:webHidden/>
              </w:rPr>
              <w:fldChar w:fldCharType="separate"/>
            </w:r>
            <w:r>
              <w:rPr>
                <w:noProof/>
                <w:webHidden/>
              </w:rPr>
              <w:t>49</w:t>
            </w:r>
            <w:r>
              <w:rPr>
                <w:noProof/>
                <w:webHidden/>
              </w:rPr>
              <w:fldChar w:fldCharType="end"/>
            </w:r>
          </w:hyperlink>
        </w:p>
        <w:p w:rsidR="000F6FB8" w:rsidRDefault="000F6FB8">
          <w:pPr>
            <w:pStyle w:val="TDC3"/>
            <w:tabs>
              <w:tab w:val="left" w:pos="1440"/>
              <w:tab w:val="right" w:leader="dot" w:pos="8828"/>
            </w:tabs>
            <w:rPr>
              <w:rFonts w:eastAsiaTheme="minorEastAsia" w:cstheme="minorBidi"/>
              <w:i w:val="0"/>
              <w:iCs w:val="0"/>
              <w:noProof/>
              <w:sz w:val="24"/>
              <w:szCs w:val="24"/>
            </w:rPr>
          </w:pPr>
          <w:hyperlink w:anchor="_Toc47387734" w:history="1">
            <w:r w:rsidRPr="00185868">
              <w:rPr>
                <w:rStyle w:val="Hipervnculo"/>
                <w:noProof/>
              </w:rPr>
              <w:t>5.2.1.3.</w:t>
            </w:r>
            <w:r>
              <w:rPr>
                <w:rFonts w:eastAsiaTheme="minorEastAsia" w:cstheme="minorBidi"/>
                <w:i w:val="0"/>
                <w:iCs w:val="0"/>
                <w:noProof/>
                <w:sz w:val="24"/>
                <w:szCs w:val="24"/>
              </w:rPr>
              <w:tab/>
            </w:r>
            <w:r w:rsidRPr="00185868">
              <w:rPr>
                <w:rStyle w:val="Hipervnculo"/>
                <w:noProof/>
              </w:rPr>
              <w:t>Buscando el sentido al artículo 6 de la Ley 26876</w:t>
            </w:r>
            <w:r>
              <w:rPr>
                <w:noProof/>
                <w:webHidden/>
              </w:rPr>
              <w:tab/>
            </w:r>
            <w:r>
              <w:rPr>
                <w:noProof/>
                <w:webHidden/>
              </w:rPr>
              <w:fldChar w:fldCharType="begin"/>
            </w:r>
            <w:r>
              <w:rPr>
                <w:noProof/>
                <w:webHidden/>
              </w:rPr>
              <w:instrText xml:space="preserve"> PAGEREF _Toc47387734 \h </w:instrText>
            </w:r>
            <w:r>
              <w:rPr>
                <w:noProof/>
                <w:webHidden/>
              </w:rPr>
            </w:r>
            <w:r>
              <w:rPr>
                <w:noProof/>
                <w:webHidden/>
              </w:rPr>
              <w:fldChar w:fldCharType="separate"/>
            </w:r>
            <w:r>
              <w:rPr>
                <w:noProof/>
                <w:webHidden/>
              </w:rPr>
              <w:t>51</w:t>
            </w:r>
            <w:r>
              <w:rPr>
                <w:noProof/>
                <w:webHidden/>
              </w:rPr>
              <w:fldChar w:fldCharType="end"/>
            </w:r>
          </w:hyperlink>
        </w:p>
        <w:p w:rsidR="000F6FB8" w:rsidRDefault="000F6FB8">
          <w:pPr>
            <w:pStyle w:val="TDC2"/>
            <w:tabs>
              <w:tab w:val="left" w:pos="960"/>
              <w:tab w:val="right" w:leader="dot" w:pos="8828"/>
            </w:tabs>
            <w:rPr>
              <w:rFonts w:eastAsiaTheme="minorEastAsia" w:cstheme="minorBidi"/>
              <w:smallCaps w:val="0"/>
              <w:noProof/>
              <w:sz w:val="24"/>
              <w:szCs w:val="24"/>
            </w:rPr>
          </w:pPr>
          <w:hyperlink w:anchor="_Toc47387735" w:history="1">
            <w:r w:rsidRPr="00185868">
              <w:rPr>
                <w:rStyle w:val="Hipervnculo"/>
                <w:i/>
                <w:noProof/>
              </w:rPr>
              <w:t>5.3.</w:t>
            </w:r>
            <w:r>
              <w:rPr>
                <w:rFonts w:eastAsiaTheme="minorEastAsia" w:cstheme="minorBidi"/>
                <w:smallCaps w:val="0"/>
                <w:noProof/>
                <w:sz w:val="24"/>
                <w:szCs w:val="24"/>
              </w:rPr>
              <w:tab/>
            </w:r>
            <w:r w:rsidRPr="00185868">
              <w:rPr>
                <w:rStyle w:val="Hipervnculo"/>
                <w:noProof/>
              </w:rPr>
              <w:t xml:space="preserve">Sobre la concentración sin autorización y otros casos de </w:t>
            </w:r>
            <w:r w:rsidRPr="00185868">
              <w:rPr>
                <w:rStyle w:val="Hipervnculo"/>
                <w:i/>
                <w:noProof/>
              </w:rPr>
              <w:t>gun jumping</w:t>
            </w:r>
            <w:r>
              <w:rPr>
                <w:noProof/>
                <w:webHidden/>
              </w:rPr>
              <w:tab/>
            </w:r>
            <w:r>
              <w:rPr>
                <w:noProof/>
                <w:webHidden/>
              </w:rPr>
              <w:fldChar w:fldCharType="begin"/>
            </w:r>
            <w:r>
              <w:rPr>
                <w:noProof/>
                <w:webHidden/>
              </w:rPr>
              <w:instrText xml:space="preserve"> PAGEREF _Toc47387735 \h </w:instrText>
            </w:r>
            <w:r>
              <w:rPr>
                <w:noProof/>
                <w:webHidden/>
              </w:rPr>
            </w:r>
            <w:r>
              <w:rPr>
                <w:noProof/>
                <w:webHidden/>
              </w:rPr>
              <w:fldChar w:fldCharType="separate"/>
            </w:r>
            <w:r>
              <w:rPr>
                <w:noProof/>
                <w:webHidden/>
              </w:rPr>
              <w:t>56</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36" w:history="1">
            <w:r w:rsidRPr="00185868">
              <w:rPr>
                <w:rStyle w:val="Hipervnculo"/>
                <w:noProof/>
              </w:rPr>
              <w:t>5.3.1.</w:t>
            </w:r>
            <w:r>
              <w:rPr>
                <w:rFonts w:eastAsiaTheme="minorEastAsia" w:cstheme="minorBidi"/>
                <w:i w:val="0"/>
                <w:iCs w:val="0"/>
                <w:noProof/>
                <w:sz w:val="24"/>
                <w:szCs w:val="24"/>
              </w:rPr>
              <w:tab/>
            </w:r>
            <w:r w:rsidRPr="00185868">
              <w:rPr>
                <w:rStyle w:val="Hipervnculo"/>
                <w:noProof/>
              </w:rPr>
              <w:t>¿Qué es el control de estructuras?</w:t>
            </w:r>
            <w:r>
              <w:rPr>
                <w:noProof/>
                <w:webHidden/>
              </w:rPr>
              <w:tab/>
            </w:r>
            <w:r>
              <w:rPr>
                <w:noProof/>
                <w:webHidden/>
              </w:rPr>
              <w:fldChar w:fldCharType="begin"/>
            </w:r>
            <w:r>
              <w:rPr>
                <w:noProof/>
                <w:webHidden/>
              </w:rPr>
              <w:instrText xml:space="preserve"> PAGEREF _Toc47387736 \h </w:instrText>
            </w:r>
            <w:r>
              <w:rPr>
                <w:noProof/>
                <w:webHidden/>
              </w:rPr>
            </w:r>
            <w:r>
              <w:rPr>
                <w:noProof/>
                <w:webHidden/>
              </w:rPr>
              <w:fldChar w:fldCharType="separate"/>
            </w:r>
            <w:r>
              <w:rPr>
                <w:noProof/>
                <w:webHidden/>
              </w:rPr>
              <w:t>59</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37" w:history="1">
            <w:r w:rsidRPr="00185868">
              <w:rPr>
                <w:rStyle w:val="Hipervnculo"/>
                <w:noProof/>
              </w:rPr>
              <w:t>5.3.2.</w:t>
            </w:r>
            <w:r>
              <w:rPr>
                <w:rFonts w:eastAsiaTheme="minorEastAsia" w:cstheme="minorBidi"/>
                <w:i w:val="0"/>
                <w:iCs w:val="0"/>
                <w:noProof/>
                <w:sz w:val="24"/>
                <w:szCs w:val="24"/>
              </w:rPr>
              <w:tab/>
            </w:r>
            <w:r w:rsidRPr="00185868">
              <w:rPr>
                <w:rStyle w:val="Hipervnculo"/>
                <w:noProof/>
              </w:rPr>
              <w:t>Control de estructuras en Perú</w:t>
            </w:r>
            <w:r>
              <w:rPr>
                <w:noProof/>
                <w:webHidden/>
              </w:rPr>
              <w:tab/>
            </w:r>
            <w:r>
              <w:rPr>
                <w:noProof/>
                <w:webHidden/>
              </w:rPr>
              <w:fldChar w:fldCharType="begin"/>
            </w:r>
            <w:r>
              <w:rPr>
                <w:noProof/>
                <w:webHidden/>
              </w:rPr>
              <w:instrText xml:space="preserve"> PAGEREF _Toc47387737 \h </w:instrText>
            </w:r>
            <w:r>
              <w:rPr>
                <w:noProof/>
                <w:webHidden/>
              </w:rPr>
            </w:r>
            <w:r>
              <w:rPr>
                <w:noProof/>
                <w:webHidden/>
              </w:rPr>
              <w:fldChar w:fldCharType="separate"/>
            </w:r>
            <w:r>
              <w:rPr>
                <w:noProof/>
                <w:webHidden/>
              </w:rPr>
              <w:t>61</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38" w:history="1">
            <w:r w:rsidRPr="00185868">
              <w:rPr>
                <w:rStyle w:val="Hipervnculo"/>
                <w:noProof/>
              </w:rPr>
              <w:t>5.3.3.</w:t>
            </w:r>
            <w:r>
              <w:rPr>
                <w:rFonts w:eastAsiaTheme="minorEastAsia" w:cstheme="minorBidi"/>
                <w:i w:val="0"/>
                <w:iCs w:val="0"/>
                <w:noProof/>
                <w:sz w:val="24"/>
                <w:szCs w:val="24"/>
              </w:rPr>
              <w:tab/>
            </w:r>
            <w:r w:rsidRPr="00185868">
              <w:rPr>
                <w:rStyle w:val="Hipervnculo"/>
                <w:noProof/>
              </w:rPr>
              <w:t>El control de concentraciones: naturaleza de autorización administrativa</w:t>
            </w:r>
            <w:r>
              <w:rPr>
                <w:noProof/>
                <w:webHidden/>
              </w:rPr>
              <w:tab/>
            </w:r>
            <w:r>
              <w:rPr>
                <w:noProof/>
                <w:webHidden/>
              </w:rPr>
              <w:fldChar w:fldCharType="begin"/>
            </w:r>
            <w:r>
              <w:rPr>
                <w:noProof/>
                <w:webHidden/>
              </w:rPr>
              <w:instrText xml:space="preserve"> PAGEREF _Toc47387738 \h </w:instrText>
            </w:r>
            <w:r>
              <w:rPr>
                <w:noProof/>
                <w:webHidden/>
              </w:rPr>
            </w:r>
            <w:r>
              <w:rPr>
                <w:noProof/>
                <w:webHidden/>
              </w:rPr>
              <w:fldChar w:fldCharType="separate"/>
            </w:r>
            <w:r>
              <w:rPr>
                <w:noProof/>
                <w:webHidden/>
              </w:rPr>
              <w:t>64</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39" w:history="1">
            <w:r w:rsidRPr="00185868">
              <w:rPr>
                <w:rStyle w:val="Hipervnculo"/>
                <w:noProof/>
              </w:rPr>
              <w:t>5.3.4.</w:t>
            </w:r>
            <w:r>
              <w:rPr>
                <w:rFonts w:eastAsiaTheme="minorEastAsia" w:cstheme="minorBidi"/>
                <w:i w:val="0"/>
                <w:iCs w:val="0"/>
                <w:noProof/>
                <w:sz w:val="24"/>
                <w:szCs w:val="24"/>
              </w:rPr>
              <w:tab/>
            </w:r>
            <w:r w:rsidRPr="00185868">
              <w:rPr>
                <w:rStyle w:val="Hipervnculo"/>
                <w:noProof/>
              </w:rPr>
              <w:t>Las dos etapas del control previo. Análisis de procedencia y análisis del fondo de la propuesta.</w:t>
            </w:r>
            <w:r>
              <w:rPr>
                <w:noProof/>
                <w:webHidden/>
              </w:rPr>
              <w:tab/>
            </w:r>
            <w:r>
              <w:rPr>
                <w:noProof/>
                <w:webHidden/>
              </w:rPr>
              <w:fldChar w:fldCharType="begin"/>
            </w:r>
            <w:r>
              <w:rPr>
                <w:noProof/>
                <w:webHidden/>
              </w:rPr>
              <w:instrText xml:space="preserve"> PAGEREF _Toc47387739 \h </w:instrText>
            </w:r>
            <w:r>
              <w:rPr>
                <w:noProof/>
                <w:webHidden/>
              </w:rPr>
            </w:r>
            <w:r>
              <w:rPr>
                <w:noProof/>
                <w:webHidden/>
              </w:rPr>
              <w:fldChar w:fldCharType="separate"/>
            </w:r>
            <w:r>
              <w:rPr>
                <w:noProof/>
                <w:webHidden/>
              </w:rPr>
              <w:t>65</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40" w:history="1">
            <w:r w:rsidRPr="00185868">
              <w:rPr>
                <w:rStyle w:val="Hipervnculo"/>
                <w:noProof/>
              </w:rPr>
              <w:t>5.3.5.</w:t>
            </w:r>
            <w:r>
              <w:rPr>
                <w:rFonts w:eastAsiaTheme="minorEastAsia" w:cstheme="minorBidi"/>
                <w:i w:val="0"/>
                <w:iCs w:val="0"/>
                <w:noProof/>
                <w:sz w:val="24"/>
                <w:szCs w:val="24"/>
              </w:rPr>
              <w:tab/>
            </w:r>
            <w:r w:rsidRPr="00185868">
              <w:rPr>
                <w:rStyle w:val="Hipervnculo"/>
                <w:noProof/>
              </w:rPr>
              <w:t>¿Qué entendemos por control?</w:t>
            </w:r>
            <w:r>
              <w:rPr>
                <w:noProof/>
                <w:webHidden/>
              </w:rPr>
              <w:tab/>
            </w:r>
            <w:r>
              <w:rPr>
                <w:noProof/>
                <w:webHidden/>
              </w:rPr>
              <w:fldChar w:fldCharType="begin"/>
            </w:r>
            <w:r>
              <w:rPr>
                <w:noProof/>
                <w:webHidden/>
              </w:rPr>
              <w:instrText xml:space="preserve"> PAGEREF _Toc47387740 \h </w:instrText>
            </w:r>
            <w:r>
              <w:rPr>
                <w:noProof/>
                <w:webHidden/>
              </w:rPr>
            </w:r>
            <w:r>
              <w:rPr>
                <w:noProof/>
                <w:webHidden/>
              </w:rPr>
              <w:fldChar w:fldCharType="separate"/>
            </w:r>
            <w:r>
              <w:rPr>
                <w:noProof/>
                <w:webHidden/>
              </w:rPr>
              <w:t>68</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41" w:history="1">
            <w:r w:rsidRPr="00185868">
              <w:rPr>
                <w:rStyle w:val="Hipervnculo"/>
                <w:noProof/>
              </w:rPr>
              <w:t>5.3.6.</w:t>
            </w:r>
            <w:r>
              <w:rPr>
                <w:rFonts w:eastAsiaTheme="minorEastAsia" w:cstheme="minorBidi"/>
                <w:i w:val="0"/>
                <w:iCs w:val="0"/>
                <w:noProof/>
                <w:sz w:val="24"/>
                <w:szCs w:val="24"/>
              </w:rPr>
              <w:tab/>
            </w:r>
            <w:r w:rsidRPr="00185868">
              <w:rPr>
                <w:rStyle w:val="Hipervnculo"/>
                <w:noProof/>
              </w:rPr>
              <w:t>Las herramientas del control previo: notificación y suspensión.</w:t>
            </w:r>
            <w:r>
              <w:rPr>
                <w:noProof/>
                <w:webHidden/>
              </w:rPr>
              <w:tab/>
            </w:r>
            <w:r>
              <w:rPr>
                <w:noProof/>
                <w:webHidden/>
              </w:rPr>
              <w:fldChar w:fldCharType="begin"/>
            </w:r>
            <w:r>
              <w:rPr>
                <w:noProof/>
                <w:webHidden/>
              </w:rPr>
              <w:instrText xml:space="preserve"> PAGEREF _Toc47387741 \h </w:instrText>
            </w:r>
            <w:r>
              <w:rPr>
                <w:noProof/>
                <w:webHidden/>
              </w:rPr>
            </w:r>
            <w:r>
              <w:rPr>
                <w:noProof/>
                <w:webHidden/>
              </w:rPr>
              <w:fldChar w:fldCharType="separate"/>
            </w:r>
            <w:r>
              <w:rPr>
                <w:noProof/>
                <w:webHidden/>
              </w:rPr>
              <w:t>69</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42" w:history="1">
            <w:r w:rsidRPr="00185868">
              <w:rPr>
                <w:rStyle w:val="Hipervnculo"/>
                <w:noProof/>
              </w:rPr>
              <w:t>5.3.7.</w:t>
            </w:r>
            <w:r>
              <w:rPr>
                <w:rFonts w:eastAsiaTheme="minorEastAsia" w:cstheme="minorBidi"/>
                <w:i w:val="0"/>
                <w:iCs w:val="0"/>
                <w:noProof/>
                <w:sz w:val="24"/>
                <w:szCs w:val="24"/>
              </w:rPr>
              <w:tab/>
            </w:r>
            <w:r w:rsidRPr="00185868">
              <w:rPr>
                <w:rStyle w:val="Hipervnculo"/>
                <w:noProof/>
              </w:rPr>
              <w:t>Infracción a la obligación de suspensión: gun jumping o cierre anticipado  en el control de concentraciones.</w:t>
            </w:r>
            <w:r>
              <w:rPr>
                <w:noProof/>
                <w:webHidden/>
              </w:rPr>
              <w:tab/>
            </w:r>
            <w:r>
              <w:rPr>
                <w:noProof/>
                <w:webHidden/>
              </w:rPr>
              <w:fldChar w:fldCharType="begin"/>
            </w:r>
            <w:r>
              <w:rPr>
                <w:noProof/>
                <w:webHidden/>
              </w:rPr>
              <w:instrText xml:space="preserve"> PAGEREF _Toc47387742 \h </w:instrText>
            </w:r>
            <w:r>
              <w:rPr>
                <w:noProof/>
                <w:webHidden/>
              </w:rPr>
            </w:r>
            <w:r>
              <w:rPr>
                <w:noProof/>
                <w:webHidden/>
              </w:rPr>
              <w:fldChar w:fldCharType="separate"/>
            </w:r>
            <w:r>
              <w:rPr>
                <w:noProof/>
                <w:webHidden/>
              </w:rPr>
              <w:t>70</w:t>
            </w:r>
            <w:r>
              <w:rPr>
                <w:noProof/>
                <w:webHidden/>
              </w:rPr>
              <w:fldChar w:fldCharType="end"/>
            </w:r>
          </w:hyperlink>
        </w:p>
        <w:p w:rsidR="000F6FB8" w:rsidRDefault="000F6FB8">
          <w:pPr>
            <w:pStyle w:val="TDC4"/>
            <w:tabs>
              <w:tab w:val="left" w:pos="1680"/>
              <w:tab w:val="right" w:leader="dot" w:pos="8828"/>
            </w:tabs>
            <w:rPr>
              <w:rFonts w:eastAsiaTheme="minorEastAsia" w:cstheme="minorBidi"/>
              <w:noProof/>
              <w:sz w:val="24"/>
              <w:szCs w:val="24"/>
            </w:rPr>
          </w:pPr>
          <w:hyperlink w:anchor="_Toc47387743" w:history="1">
            <w:r w:rsidRPr="00185868">
              <w:rPr>
                <w:rStyle w:val="Hipervnculo"/>
                <w:noProof/>
              </w:rPr>
              <w:t>5.3.7.1.</w:t>
            </w:r>
            <w:r>
              <w:rPr>
                <w:rFonts w:eastAsiaTheme="minorEastAsia" w:cstheme="minorBidi"/>
                <w:noProof/>
                <w:sz w:val="24"/>
                <w:szCs w:val="24"/>
              </w:rPr>
              <w:tab/>
            </w:r>
            <w:r w:rsidRPr="00185868">
              <w:rPr>
                <w:rStyle w:val="Hipervnculo"/>
                <w:noProof/>
              </w:rPr>
              <w:t>¿Cuál es el estándar a nivel internacional?</w:t>
            </w:r>
            <w:r>
              <w:rPr>
                <w:noProof/>
                <w:webHidden/>
              </w:rPr>
              <w:tab/>
            </w:r>
            <w:r>
              <w:rPr>
                <w:noProof/>
                <w:webHidden/>
              </w:rPr>
              <w:fldChar w:fldCharType="begin"/>
            </w:r>
            <w:r>
              <w:rPr>
                <w:noProof/>
                <w:webHidden/>
              </w:rPr>
              <w:instrText xml:space="preserve"> PAGEREF _Toc47387743 \h </w:instrText>
            </w:r>
            <w:r>
              <w:rPr>
                <w:noProof/>
                <w:webHidden/>
              </w:rPr>
            </w:r>
            <w:r>
              <w:rPr>
                <w:noProof/>
                <w:webHidden/>
              </w:rPr>
              <w:fldChar w:fldCharType="separate"/>
            </w:r>
            <w:r>
              <w:rPr>
                <w:noProof/>
                <w:webHidden/>
              </w:rPr>
              <w:t>72</w:t>
            </w:r>
            <w:r>
              <w:rPr>
                <w:noProof/>
                <w:webHidden/>
              </w:rPr>
              <w:fldChar w:fldCharType="end"/>
            </w:r>
          </w:hyperlink>
        </w:p>
        <w:p w:rsidR="000F6FB8" w:rsidRDefault="000F6FB8">
          <w:pPr>
            <w:pStyle w:val="TDC6"/>
            <w:tabs>
              <w:tab w:val="left" w:pos="1680"/>
              <w:tab w:val="right" w:leader="dot" w:pos="8828"/>
            </w:tabs>
            <w:rPr>
              <w:rFonts w:eastAsiaTheme="minorEastAsia" w:cstheme="minorBidi"/>
              <w:noProof/>
              <w:sz w:val="24"/>
              <w:szCs w:val="24"/>
            </w:rPr>
          </w:pPr>
          <w:hyperlink w:anchor="_Toc47387744" w:history="1">
            <w:r w:rsidRPr="00185868">
              <w:rPr>
                <w:rStyle w:val="Hipervnculo"/>
                <w:noProof/>
              </w:rPr>
              <w:t>-</w:t>
            </w:r>
            <w:r>
              <w:rPr>
                <w:rFonts w:eastAsiaTheme="minorEastAsia" w:cstheme="minorBidi"/>
                <w:noProof/>
                <w:sz w:val="24"/>
                <w:szCs w:val="24"/>
              </w:rPr>
              <w:tab/>
            </w:r>
            <w:r w:rsidRPr="00185868">
              <w:rPr>
                <w:rStyle w:val="Hipervnculo"/>
                <w:noProof/>
              </w:rPr>
              <w:t>El Caso Ernst &amp; Young y KPMG DK. Asunto C‑633/16.</w:t>
            </w:r>
            <w:r>
              <w:rPr>
                <w:noProof/>
                <w:webHidden/>
              </w:rPr>
              <w:tab/>
            </w:r>
            <w:r>
              <w:rPr>
                <w:noProof/>
                <w:webHidden/>
              </w:rPr>
              <w:fldChar w:fldCharType="begin"/>
            </w:r>
            <w:r>
              <w:rPr>
                <w:noProof/>
                <w:webHidden/>
              </w:rPr>
              <w:instrText xml:space="preserve"> PAGEREF _Toc47387744 \h </w:instrText>
            </w:r>
            <w:r>
              <w:rPr>
                <w:noProof/>
                <w:webHidden/>
              </w:rPr>
            </w:r>
            <w:r>
              <w:rPr>
                <w:noProof/>
                <w:webHidden/>
              </w:rPr>
              <w:fldChar w:fldCharType="separate"/>
            </w:r>
            <w:r>
              <w:rPr>
                <w:noProof/>
                <w:webHidden/>
              </w:rPr>
              <w:t>73</w:t>
            </w:r>
            <w:r>
              <w:rPr>
                <w:noProof/>
                <w:webHidden/>
              </w:rPr>
              <w:fldChar w:fldCharType="end"/>
            </w:r>
          </w:hyperlink>
        </w:p>
        <w:p w:rsidR="000F6FB8" w:rsidRDefault="000F6FB8">
          <w:pPr>
            <w:pStyle w:val="TDC5"/>
            <w:tabs>
              <w:tab w:val="left" w:pos="1920"/>
              <w:tab w:val="right" w:leader="dot" w:pos="8828"/>
            </w:tabs>
            <w:rPr>
              <w:rFonts w:eastAsiaTheme="minorEastAsia" w:cstheme="minorBidi"/>
              <w:noProof/>
              <w:sz w:val="24"/>
              <w:szCs w:val="24"/>
            </w:rPr>
          </w:pPr>
          <w:hyperlink w:anchor="_Toc47387745" w:history="1">
            <w:r w:rsidRPr="00185868">
              <w:rPr>
                <w:rStyle w:val="Hipervnculo"/>
                <w:noProof/>
              </w:rPr>
              <w:t>5.3.7.2.</w:t>
            </w:r>
            <w:r>
              <w:rPr>
                <w:rFonts w:eastAsiaTheme="minorEastAsia" w:cstheme="minorBidi"/>
                <w:noProof/>
                <w:sz w:val="24"/>
                <w:szCs w:val="24"/>
              </w:rPr>
              <w:tab/>
            </w:r>
            <w:r w:rsidRPr="00185868">
              <w:rPr>
                <w:rStyle w:val="Hipervnculo"/>
                <w:noProof/>
              </w:rPr>
              <w:t>¿Cuál es el estándar en Perú?</w:t>
            </w:r>
            <w:r>
              <w:rPr>
                <w:noProof/>
                <w:webHidden/>
              </w:rPr>
              <w:tab/>
            </w:r>
            <w:r>
              <w:rPr>
                <w:noProof/>
                <w:webHidden/>
              </w:rPr>
              <w:fldChar w:fldCharType="begin"/>
            </w:r>
            <w:r>
              <w:rPr>
                <w:noProof/>
                <w:webHidden/>
              </w:rPr>
              <w:instrText xml:space="preserve"> PAGEREF _Toc47387745 \h </w:instrText>
            </w:r>
            <w:r>
              <w:rPr>
                <w:noProof/>
                <w:webHidden/>
              </w:rPr>
            </w:r>
            <w:r>
              <w:rPr>
                <w:noProof/>
                <w:webHidden/>
              </w:rPr>
              <w:fldChar w:fldCharType="separate"/>
            </w:r>
            <w:r>
              <w:rPr>
                <w:noProof/>
                <w:webHidden/>
              </w:rPr>
              <w:t>76</w:t>
            </w:r>
            <w:r>
              <w:rPr>
                <w:noProof/>
                <w:webHidden/>
              </w:rPr>
              <w:fldChar w:fldCharType="end"/>
            </w:r>
          </w:hyperlink>
        </w:p>
        <w:p w:rsidR="000F6FB8" w:rsidRDefault="000F6FB8">
          <w:pPr>
            <w:pStyle w:val="TDC5"/>
            <w:tabs>
              <w:tab w:val="left" w:pos="1920"/>
              <w:tab w:val="right" w:leader="dot" w:pos="8828"/>
            </w:tabs>
            <w:rPr>
              <w:rFonts w:eastAsiaTheme="minorEastAsia" w:cstheme="minorBidi"/>
              <w:noProof/>
              <w:sz w:val="24"/>
              <w:szCs w:val="24"/>
            </w:rPr>
          </w:pPr>
          <w:hyperlink w:anchor="_Toc47387746" w:history="1">
            <w:r w:rsidRPr="00185868">
              <w:rPr>
                <w:rStyle w:val="Hipervnculo"/>
                <w:noProof/>
              </w:rPr>
              <w:t>5.3.7.3.</w:t>
            </w:r>
            <w:r>
              <w:rPr>
                <w:rFonts w:eastAsiaTheme="minorEastAsia" w:cstheme="minorBidi"/>
                <w:noProof/>
                <w:sz w:val="24"/>
                <w:szCs w:val="24"/>
              </w:rPr>
              <w:tab/>
            </w:r>
            <w:r w:rsidRPr="00185868">
              <w:rPr>
                <w:rStyle w:val="Hipervnculo"/>
                <w:noProof/>
              </w:rPr>
              <w:t>Postura</w:t>
            </w:r>
            <w:r>
              <w:rPr>
                <w:noProof/>
                <w:webHidden/>
              </w:rPr>
              <w:tab/>
            </w:r>
            <w:r>
              <w:rPr>
                <w:noProof/>
                <w:webHidden/>
              </w:rPr>
              <w:fldChar w:fldCharType="begin"/>
            </w:r>
            <w:r>
              <w:rPr>
                <w:noProof/>
                <w:webHidden/>
              </w:rPr>
              <w:instrText xml:space="preserve"> PAGEREF _Toc47387746 \h </w:instrText>
            </w:r>
            <w:r>
              <w:rPr>
                <w:noProof/>
                <w:webHidden/>
              </w:rPr>
            </w:r>
            <w:r>
              <w:rPr>
                <w:noProof/>
                <w:webHidden/>
              </w:rPr>
              <w:fldChar w:fldCharType="separate"/>
            </w:r>
            <w:r>
              <w:rPr>
                <w:noProof/>
                <w:webHidden/>
              </w:rPr>
              <w:t>78</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47" w:history="1">
            <w:r w:rsidRPr="00185868">
              <w:rPr>
                <w:rStyle w:val="Hipervnculo"/>
                <w:noProof/>
              </w:rPr>
              <w:t>5.3.8.</w:t>
            </w:r>
            <w:r>
              <w:rPr>
                <w:rFonts w:eastAsiaTheme="minorEastAsia" w:cstheme="minorBidi"/>
                <w:i w:val="0"/>
                <w:iCs w:val="0"/>
                <w:noProof/>
                <w:sz w:val="24"/>
                <w:szCs w:val="24"/>
              </w:rPr>
              <w:tab/>
            </w:r>
            <w:r w:rsidRPr="00185868">
              <w:rPr>
                <w:rStyle w:val="Hipervnculo"/>
                <w:noProof/>
              </w:rPr>
              <w:t>Medidas de suspensión de los efectos o acuerdos de exclusión. ¿En qué consisten? ¿Realmente existen?</w:t>
            </w:r>
            <w:r>
              <w:rPr>
                <w:noProof/>
                <w:webHidden/>
              </w:rPr>
              <w:tab/>
            </w:r>
            <w:r>
              <w:rPr>
                <w:noProof/>
                <w:webHidden/>
              </w:rPr>
              <w:fldChar w:fldCharType="begin"/>
            </w:r>
            <w:r>
              <w:rPr>
                <w:noProof/>
                <w:webHidden/>
              </w:rPr>
              <w:instrText xml:space="preserve"> PAGEREF _Toc47387747 \h </w:instrText>
            </w:r>
            <w:r>
              <w:rPr>
                <w:noProof/>
                <w:webHidden/>
              </w:rPr>
            </w:r>
            <w:r>
              <w:rPr>
                <w:noProof/>
                <w:webHidden/>
              </w:rPr>
              <w:fldChar w:fldCharType="separate"/>
            </w:r>
            <w:r>
              <w:rPr>
                <w:noProof/>
                <w:webHidden/>
              </w:rPr>
              <w:t>81</w:t>
            </w:r>
            <w:r>
              <w:rPr>
                <w:noProof/>
                <w:webHidden/>
              </w:rPr>
              <w:fldChar w:fldCharType="end"/>
            </w:r>
          </w:hyperlink>
        </w:p>
        <w:p w:rsidR="000F6FB8" w:rsidRDefault="000F6FB8">
          <w:pPr>
            <w:pStyle w:val="TDC5"/>
            <w:tabs>
              <w:tab w:val="left" w:pos="1920"/>
              <w:tab w:val="right" w:leader="dot" w:pos="8828"/>
            </w:tabs>
            <w:rPr>
              <w:rFonts w:eastAsiaTheme="minorEastAsia" w:cstheme="minorBidi"/>
              <w:noProof/>
              <w:sz w:val="24"/>
              <w:szCs w:val="24"/>
            </w:rPr>
          </w:pPr>
          <w:hyperlink w:anchor="_Toc47387748" w:history="1">
            <w:r w:rsidRPr="00185868">
              <w:rPr>
                <w:rStyle w:val="Hipervnculo"/>
                <w:noProof/>
              </w:rPr>
              <w:t>5.3.8.1.</w:t>
            </w:r>
            <w:r>
              <w:rPr>
                <w:rFonts w:eastAsiaTheme="minorEastAsia" w:cstheme="minorBidi"/>
                <w:noProof/>
                <w:sz w:val="24"/>
                <w:szCs w:val="24"/>
              </w:rPr>
              <w:tab/>
            </w:r>
            <w:r w:rsidRPr="00185868">
              <w:rPr>
                <w:rStyle w:val="Hipervnculo"/>
                <w:noProof/>
              </w:rPr>
              <w:t>¿Qué ha sido adoptado en Perú sobre medidas de dispensa?</w:t>
            </w:r>
            <w:r>
              <w:rPr>
                <w:noProof/>
                <w:webHidden/>
              </w:rPr>
              <w:tab/>
            </w:r>
            <w:r>
              <w:rPr>
                <w:noProof/>
                <w:webHidden/>
              </w:rPr>
              <w:fldChar w:fldCharType="begin"/>
            </w:r>
            <w:r>
              <w:rPr>
                <w:noProof/>
                <w:webHidden/>
              </w:rPr>
              <w:instrText xml:space="preserve"> PAGEREF _Toc47387748 \h </w:instrText>
            </w:r>
            <w:r>
              <w:rPr>
                <w:noProof/>
                <w:webHidden/>
              </w:rPr>
            </w:r>
            <w:r>
              <w:rPr>
                <w:noProof/>
                <w:webHidden/>
              </w:rPr>
              <w:fldChar w:fldCharType="separate"/>
            </w:r>
            <w:r>
              <w:rPr>
                <w:noProof/>
                <w:webHidden/>
              </w:rPr>
              <w:t>83</w:t>
            </w:r>
            <w:r>
              <w:rPr>
                <w:noProof/>
                <w:webHidden/>
              </w:rPr>
              <w:fldChar w:fldCharType="end"/>
            </w:r>
          </w:hyperlink>
        </w:p>
        <w:p w:rsidR="000F6FB8" w:rsidRDefault="000F6FB8">
          <w:pPr>
            <w:pStyle w:val="TDC5"/>
            <w:tabs>
              <w:tab w:val="left" w:pos="1920"/>
              <w:tab w:val="right" w:leader="dot" w:pos="8828"/>
            </w:tabs>
            <w:rPr>
              <w:rFonts w:eastAsiaTheme="minorEastAsia" w:cstheme="minorBidi"/>
              <w:noProof/>
              <w:sz w:val="24"/>
              <w:szCs w:val="24"/>
            </w:rPr>
          </w:pPr>
          <w:hyperlink w:anchor="_Toc47387749" w:history="1">
            <w:r w:rsidRPr="00185868">
              <w:rPr>
                <w:rStyle w:val="Hipervnculo"/>
                <w:noProof/>
              </w:rPr>
              <w:t>5.3.8.2.</w:t>
            </w:r>
            <w:r>
              <w:rPr>
                <w:rFonts w:eastAsiaTheme="minorEastAsia" w:cstheme="minorBidi"/>
                <w:noProof/>
                <w:sz w:val="24"/>
                <w:szCs w:val="24"/>
              </w:rPr>
              <w:tab/>
            </w:r>
            <w:r w:rsidRPr="00185868">
              <w:rPr>
                <w:rStyle w:val="Hipervnculo"/>
                <w:noProof/>
              </w:rPr>
              <w:t>¿Cómo analizó la Comisión la infracción al artículo 6 de la Ley 26876?</w:t>
            </w:r>
            <w:r>
              <w:rPr>
                <w:noProof/>
                <w:webHidden/>
              </w:rPr>
              <w:tab/>
            </w:r>
            <w:r>
              <w:rPr>
                <w:noProof/>
                <w:webHidden/>
              </w:rPr>
              <w:fldChar w:fldCharType="begin"/>
            </w:r>
            <w:r>
              <w:rPr>
                <w:noProof/>
                <w:webHidden/>
              </w:rPr>
              <w:instrText xml:space="preserve"> PAGEREF _Toc47387749 \h </w:instrText>
            </w:r>
            <w:r>
              <w:rPr>
                <w:noProof/>
                <w:webHidden/>
              </w:rPr>
            </w:r>
            <w:r>
              <w:rPr>
                <w:noProof/>
                <w:webHidden/>
              </w:rPr>
              <w:fldChar w:fldCharType="separate"/>
            </w:r>
            <w:r>
              <w:rPr>
                <w:noProof/>
                <w:webHidden/>
              </w:rPr>
              <w:t>87</w:t>
            </w:r>
            <w:r>
              <w:rPr>
                <w:noProof/>
                <w:webHidden/>
              </w:rPr>
              <w:fldChar w:fldCharType="end"/>
            </w:r>
          </w:hyperlink>
        </w:p>
        <w:p w:rsidR="000F6FB8" w:rsidRDefault="000F6FB8">
          <w:pPr>
            <w:pStyle w:val="TDC5"/>
            <w:tabs>
              <w:tab w:val="left" w:pos="1920"/>
              <w:tab w:val="right" w:leader="dot" w:pos="8828"/>
            </w:tabs>
            <w:rPr>
              <w:rFonts w:eastAsiaTheme="minorEastAsia" w:cstheme="minorBidi"/>
              <w:noProof/>
              <w:sz w:val="24"/>
              <w:szCs w:val="24"/>
            </w:rPr>
          </w:pPr>
          <w:hyperlink w:anchor="_Toc47387750" w:history="1">
            <w:r w:rsidRPr="00185868">
              <w:rPr>
                <w:rStyle w:val="Hipervnculo"/>
                <w:noProof/>
              </w:rPr>
              <w:t>5.3.8.3.</w:t>
            </w:r>
            <w:r>
              <w:rPr>
                <w:rFonts w:eastAsiaTheme="minorEastAsia" w:cstheme="minorBidi"/>
                <w:noProof/>
                <w:sz w:val="24"/>
                <w:szCs w:val="24"/>
              </w:rPr>
              <w:tab/>
            </w:r>
            <w:r w:rsidRPr="00185868">
              <w:rPr>
                <w:rStyle w:val="Hipervnculo"/>
                <w:noProof/>
              </w:rPr>
              <w:t>Propuesta</w:t>
            </w:r>
            <w:r>
              <w:rPr>
                <w:noProof/>
                <w:webHidden/>
              </w:rPr>
              <w:tab/>
            </w:r>
            <w:r>
              <w:rPr>
                <w:noProof/>
                <w:webHidden/>
              </w:rPr>
              <w:fldChar w:fldCharType="begin"/>
            </w:r>
            <w:r>
              <w:rPr>
                <w:noProof/>
                <w:webHidden/>
              </w:rPr>
              <w:instrText xml:space="preserve"> PAGEREF _Toc47387750 \h </w:instrText>
            </w:r>
            <w:r>
              <w:rPr>
                <w:noProof/>
                <w:webHidden/>
              </w:rPr>
            </w:r>
            <w:r>
              <w:rPr>
                <w:noProof/>
                <w:webHidden/>
              </w:rPr>
              <w:fldChar w:fldCharType="separate"/>
            </w:r>
            <w:r>
              <w:rPr>
                <w:noProof/>
                <w:webHidden/>
              </w:rPr>
              <w:t>89</w:t>
            </w:r>
            <w:r>
              <w:rPr>
                <w:noProof/>
                <w:webHidden/>
              </w:rPr>
              <w:fldChar w:fldCharType="end"/>
            </w:r>
          </w:hyperlink>
        </w:p>
        <w:p w:rsidR="000F6FB8" w:rsidRDefault="000F6FB8">
          <w:pPr>
            <w:pStyle w:val="TDC6"/>
            <w:tabs>
              <w:tab w:val="left" w:pos="2123"/>
              <w:tab w:val="right" w:leader="dot" w:pos="8828"/>
            </w:tabs>
            <w:rPr>
              <w:rFonts w:eastAsiaTheme="minorEastAsia" w:cstheme="minorBidi"/>
              <w:noProof/>
              <w:sz w:val="24"/>
              <w:szCs w:val="24"/>
            </w:rPr>
          </w:pPr>
          <w:hyperlink w:anchor="_Toc47387751" w:history="1">
            <w:r w:rsidRPr="00185868">
              <w:rPr>
                <w:rStyle w:val="Hipervnculo"/>
                <w:noProof/>
              </w:rPr>
              <w:t>5.3.8.3.1.</w:t>
            </w:r>
            <w:r>
              <w:rPr>
                <w:rFonts w:eastAsiaTheme="minorEastAsia" w:cstheme="minorBidi"/>
                <w:noProof/>
                <w:sz w:val="24"/>
                <w:szCs w:val="24"/>
              </w:rPr>
              <w:tab/>
            </w:r>
            <w:r w:rsidRPr="00185868">
              <w:rPr>
                <w:rStyle w:val="Hipervnculo"/>
                <w:noProof/>
              </w:rPr>
              <w:t>¿Fue la medida de dispensa propuesta suficiente?</w:t>
            </w:r>
            <w:r>
              <w:rPr>
                <w:noProof/>
                <w:webHidden/>
              </w:rPr>
              <w:tab/>
            </w:r>
            <w:r>
              <w:rPr>
                <w:noProof/>
                <w:webHidden/>
              </w:rPr>
              <w:fldChar w:fldCharType="begin"/>
            </w:r>
            <w:r>
              <w:rPr>
                <w:noProof/>
                <w:webHidden/>
              </w:rPr>
              <w:instrText xml:space="preserve"> PAGEREF _Toc47387751 \h </w:instrText>
            </w:r>
            <w:r>
              <w:rPr>
                <w:noProof/>
                <w:webHidden/>
              </w:rPr>
            </w:r>
            <w:r>
              <w:rPr>
                <w:noProof/>
                <w:webHidden/>
              </w:rPr>
              <w:fldChar w:fldCharType="separate"/>
            </w:r>
            <w:r>
              <w:rPr>
                <w:noProof/>
                <w:webHidden/>
              </w:rPr>
              <w:t>91</w:t>
            </w:r>
            <w:r>
              <w:rPr>
                <w:noProof/>
                <w:webHidden/>
              </w:rPr>
              <w:fldChar w:fldCharType="end"/>
            </w:r>
          </w:hyperlink>
        </w:p>
        <w:p w:rsidR="000F6FB8" w:rsidRDefault="000F6FB8">
          <w:pPr>
            <w:pStyle w:val="TDC6"/>
            <w:tabs>
              <w:tab w:val="left" w:pos="2123"/>
              <w:tab w:val="right" w:leader="dot" w:pos="8828"/>
            </w:tabs>
            <w:rPr>
              <w:rFonts w:eastAsiaTheme="minorEastAsia" w:cstheme="minorBidi"/>
              <w:noProof/>
              <w:sz w:val="24"/>
              <w:szCs w:val="24"/>
            </w:rPr>
          </w:pPr>
          <w:hyperlink w:anchor="_Toc47387752" w:history="1">
            <w:r w:rsidRPr="00185868">
              <w:rPr>
                <w:rStyle w:val="Hipervnculo"/>
                <w:noProof/>
              </w:rPr>
              <w:t>5.3.8.3.2.</w:t>
            </w:r>
            <w:r>
              <w:rPr>
                <w:rFonts w:eastAsiaTheme="minorEastAsia" w:cstheme="minorBidi"/>
                <w:noProof/>
                <w:sz w:val="24"/>
                <w:szCs w:val="24"/>
              </w:rPr>
              <w:tab/>
            </w:r>
            <w:r w:rsidRPr="00185868">
              <w:rPr>
                <w:rStyle w:val="Hipervnculo"/>
                <w:noProof/>
              </w:rPr>
              <w:t>¿Fue la medida de dispensa presentada en un momento oportuno?</w:t>
            </w:r>
            <w:r>
              <w:rPr>
                <w:noProof/>
                <w:webHidden/>
              </w:rPr>
              <w:tab/>
            </w:r>
            <w:r>
              <w:rPr>
                <w:noProof/>
                <w:webHidden/>
              </w:rPr>
              <w:fldChar w:fldCharType="begin"/>
            </w:r>
            <w:r>
              <w:rPr>
                <w:noProof/>
                <w:webHidden/>
              </w:rPr>
              <w:instrText xml:space="preserve"> PAGEREF _Toc47387752 \h </w:instrText>
            </w:r>
            <w:r>
              <w:rPr>
                <w:noProof/>
                <w:webHidden/>
              </w:rPr>
            </w:r>
            <w:r>
              <w:rPr>
                <w:noProof/>
                <w:webHidden/>
              </w:rPr>
              <w:fldChar w:fldCharType="separate"/>
            </w:r>
            <w:r>
              <w:rPr>
                <w:noProof/>
                <w:webHidden/>
              </w:rPr>
              <w:t>92</w:t>
            </w:r>
            <w:r>
              <w:rPr>
                <w:noProof/>
                <w:webHidden/>
              </w:rPr>
              <w:fldChar w:fldCharType="end"/>
            </w:r>
          </w:hyperlink>
        </w:p>
        <w:p w:rsidR="000F6FB8" w:rsidRDefault="000F6FB8">
          <w:pPr>
            <w:pStyle w:val="TDC2"/>
            <w:tabs>
              <w:tab w:val="left" w:pos="960"/>
              <w:tab w:val="right" w:leader="dot" w:pos="8828"/>
            </w:tabs>
            <w:rPr>
              <w:rFonts w:eastAsiaTheme="minorEastAsia" w:cstheme="minorBidi"/>
              <w:smallCaps w:val="0"/>
              <w:noProof/>
              <w:sz w:val="24"/>
              <w:szCs w:val="24"/>
            </w:rPr>
          </w:pPr>
          <w:hyperlink w:anchor="_Toc47387753" w:history="1">
            <w:r w:rsidRPr="00185868">
              <w:rPr>
                <w:rStyle w:val="Hipervnculo"/>
                <w:noProof/>
              </w:rPr>
              <w:t>5.4.</w:t>
            </w:r>
            <w:r>
              <w:rPr>
                <w:rFonts w:eastAsiaTheme="minorEastAsia" w:cstheme="minorBidi"/>
                <w:smallCaps w:val="0"/>
                <w:noProof/>
                <w:sz w:val="24"/>
                <w:szCs w:val="24"/>
              </w:rPr>
              <w:tab/>
            </w:r>
            <w:r w:rsidRPr="00185868">
              <w:rPr>
                <w:rStyle w:val="Hipervnculo"/>
                <w:noProof/>
              </w:rPr>
              <w:t>Los criterios de graduación de la sanción</w:t>
            </w:r>
            <w:r>
              <w:rPr>
                <w:noProof/>
                <w:webHidden/>
              </w:rPr>
              <w:tab/>
            </w:r>
            <w:r>
              <w:rPr>
                <w:noProof/>
                <w:webHidden/>
              </w:rPr>
              <w:fldChar w:fldCharType="begin"/>
            </w:r>
            <w:r>
              <w:rPr>
                <w:noProof/>
                <w:webHidden/>
              </w:rPr>
              <w:instrText xml:space="preserve"> PAGEREF _Toc47387753 \h </w:instrText>
            </w:r>
            <w:r>
              <w:rPr>
                <w:noProof/>
                <w:webHidden/>
              </w:rPr>
            </w:r>
            <w:r>
              <w:rPr>
                <w:noProof/>
                <w:webHidden/>
              </w:rPr>
              <w:fldChar w:fldCharType="separate"/>
            </w:r>
            <w:r>
              <w:rPr>
                <w:noProof/>
                <w:webHidden/>
              </w:rPr>
              <w:t>93</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54" w:history="1">
            <w:r w:rsidRPr="00185868">
              <w:rPr>
                <w:rStyle w:val="Hipervnculo"/>
                <w:noProof/>
              </w:rPr>
              <w:t>5.4.1.</w:t>
            </w:r>
            <w:r>
              <w:rPr>
                <w:rFonts w:eastAsiaTheme="minorEastAsia" w:cstheme="minorBidi"/>
                <w:i w:val="0"/>
                <w:iCs w:val="0"/>
                <w:noProof/>
                <w:sz w:val="24"/>
                <w:szCs w:val="24"/>
              </w:rPr>
              <w:tab/>
            </w:r>
            <w:r w:rsidRPr="00185868">
              <w:rPr>
                <w:rStyle w:val="Hipervnculo"/>
                <w:noProof/>
              </w:rPr>
              <w:t>El único criterio considerado por la Comisión en la imposición de la sanción: la intencionalidad.</w:t>
            </w:r>
            <w:r>
              <w:rPr>
                <w:noProof/>
                <w:webHidden/>
              </w:rPr>
              <w:tab/>
            </w:r>
            <w:r>
              <w:rPr>
                <w:noProof/>
                <w:webHidden/>
              </w:rPr>
              <w:fldChar w:fldCharType="begin"/>
            </w:r>
            <w:r>
              <w:rPr>
                <w:noProof/>
                <w:webHidden/>
              </w:rPr>
              <w:instrText xml:space="preserve"> PAGEREF _Toc47387754 \h </w:instrText>
            </w:r>
            <w:r>
              <w:rPr>
                <w:noProof/>
                <w:webHidden/>
              </w:rPr>
            </w:r>
            <w:r>
              <w:rPr>
                <w:noProof/>
                <w:webHidden/>
              </w:rPr>
              <w:fldChar w:fldCharType="separate"/>
            </w:r>
            <w:r>
              <w:rPr>
                <w:noProof/>
                <w:webHidden/>
              </w:rPr>
              <w:t>98</w:t>
            </w:r>
            <w:r>
              <w:rPr>
                <w:noProof/>
                <w:webHidden/>
              </w:rPr>
              <w:fldChar w:fldCharType="end"/>
            </w:r>
          </w:hyperlink>
        </w:p>
        <w:p w:rsidR="000F6FB8" w:rsidRDefault="000F6FB8">
          <w:pPr>
            <w:pStyle w:val="TDC3"/>
            <w:tabs>
              <w:tab w:val="left" w:pos="1200"/>
              <w:tab w:val="right" w:leader="dot" w:pos="8828"/>
            </w:tabs>
            <w:rPr>
              <w:rFonts w:eastAsiaTheme="minorEastAsia" w:cstheme="minorBidi"/>
              <w:i w:val="0"/>
              <w:iCs w:val="0"/>
              <w:noProof/>
              <w:sz w:val="24"/>
              <w:szCs w:val="24"/>
            </w:rPr>
          </w:pPr>
          <w:hyperlink w:anchor="_Toc47387755" w:history="1">
            <w:r w:rsidRPr="00185868">
              <w:rPr>
                <w:rStyle w:val="Hipervnculo"/>
                <w:noProof/>
              </w:rPr>
              <w:t>5.4.2.</w:t>
            </w:r>
            <w:r>
              <w:rPr>
                <w:rFonts w:eastAsiaTheme="minorEastAsia" w:cstheme="minorBidi"/>
                <w:i w:val="0"/>
                <w:iCs w:val="0"/>
                <w:noProof/>
                <w:sz w:val="24"/>
                <w:szCs w:val="24"/>
              </w:rPr>
              <w:tab/>
            </w:r>
            <w:r w:rsidRPr="00185868">
              <w:rPr>
                <w:rStyle w:val="Hipervnculo"/>
                <w:noProof/>
              </w:rPr>
              <w:t>La consecuente nulidad y aplicación de los criterios de graduación de la sanción por parte de la Sala.</w:t>
            </w:r>
            <w:r>
              <w:rPr>
                <w:noProof/>
                <w:webHidden/>
              </w:rPr>
              <w:tab/>
            </w:r>
            <w:r>
              <w:rPr>
                <w:noProof/>
                <w:webHidden/>
              </w:rPr>
              <w:fldChar w:fldCharType="begin"/>
            </w:r>
            <w:r>
              <w:rPr>
                <w:noProof/>
                <w:webHidden/>
              </w:rPr>
              <w:instrText xml:space="preserve"> PAGEREF _Toc47387755 \h </w:instrText>
            </w:r>
            <w:r>
              <w:rPr>
                <w:noProof/>
                <w:webHidden/>
              </w:rPr>
            </w:r>
            <w:r>
              <w:rPr>
                <w:noProof/>
                <w:webHidden/>
              </w:rPr>
              <w:fldChar w:fldCharType="separate"/>
            </w:r>
            <w:r>
              <w:rPr>
                <w:noProof/>
                <w:webHidden/>
              </w:rPr>
              <w:t>99</w:t>
            </w:r>
            <w:r>
              <w:rPr>
                <w:noProof/>
                <w:webHidden/>
              </w:rPr>
              <w:fldChar w:fldCharType="end"/>
            </w:r>
          </w:hyperlink>
        </w:p>
        <w:p w:rsidR="000F6FB8" w:rsidRDefault="000F6FB8">
          <w:pPr>
            <w:pStyle w:val="TDC4"/>
            <w:tabs>
              <w:tab w:val="left" w:pos="1440"/>
              <w:tab w:val="right" w:leader="dot" w:pos="8828"/>
            </w:tabs>
            <w:rPr>
              <w:rFonts w:eastAsiaTheme="minorEastAsia" w:cstheme="minorBidi"/>
              <w:noProof/>
              <w:sz w:val="24"/>
              <w:szCs w:val="24"/>
            </w:rPr>
          </w:pPr>
          <w:hyperlink w:anchor="_Toc47387756" w:history="1">
            <w:r w:rsidRPr="00185868">
              <w:rPr>
                <w:rStyle w:val="Hipervnculo"/>
                <w:noProof/>
              </w:rPr>
              <w:t>5.4.3.</w:t>
            </w:r>
            <w:r>
              <w:rPr>
                <w:rFonts w:eastAsiaTheme="minorEastAsia" w:cstheme="minorBidi"/>
                <w:noProof/>
                <w:sz w:val="24"/>
                <w:szCs w:val="24"/>
              </w:rPr>
              <w:tab/>
            </w:r>
            <w:r w:rsidRPr="00185868">
              <w:rPr>
                <w:rStyle w:val="Hipervnculo"/>
                <w:noProof/>
              </w:rPr>
              <w:t>Desarrollo  de los criterios de la Sala en la Resolución 0794-2011/SC1-INDECOPI</w:t>
            </w:r>
            <w:r>
              <w:rPr>
                <w:noProof/>
                <w:webHidden/>
              </w:rPr>
              <w:tab/>
            </w:r>
            <w:r>
              <w:rPr>
                <w:noProof/>
                <w:webHidden/>
              </w:rPr>
              <w:fldChar w:fldCharType="begin"/>
            </w:r>
            <w:r>
              <w:rPr>
                <w:noProof/>
                <w:webHidden/>
              </w:rPr>
              <w:instrText xml:space="preserve"> PAGEREF _Toc47387756 \h </w:instrText>
            </w:r>
            <w:r>
              <w:rPr>
                <w:noProof/>
                <w:webHidden/>
              </w:rPr>
            </w:r>
            <w:r>
              <w:rPr>
                <w:noProof/>
                <w:webHidden/>
              </w:rPr>
              <w:fldChar w:fldCharType="separate"/>
            </w:r>
            <w:r>
              <w:rPr>
                <w:noProof/>
                <w:webHidden/>
              </w:rPr>
              <w:t>100</w:t>
            </w:r>
            <w:r>
              <w:rPr>
                <w:noProof/>
                <w:webHidden/>
              </w:rPr>
              <w:fldChar w:fldCharType="end"/>
            </w:r>
          </w:hyperlink>
        </w:p>
        <w:p w:rsidR="000F6FB8" w:rsidRDefault="000F6FB8">
          <w:pPr>
            <w:pStyle w:val="TDC2"/>
            <w:tabs>
              <w:tab w:val="left" w:pos="720"/>
              <w:tab w:val="right" w:leader="dot" w:pos="8828"/>
            </w:tabs>
            <w:rPr>
              <w:rFonts w:eastAsiaTheme="minorEastAsia" w:cstheme="minorBidi"/>
              <w:smallCaps w:val="0"/>
              <w:noProof/>
              <w:sz w:val="24"/>
              <w:szCs w:val="24"/>
            </w:rPr>
          </w:pPr>
          <w:hyperlink w:anchor="_Toc47387757" w:history="1">
            <w:r w:rsidRPr="00185868">
              <w:rPr>
                <w:rStyle w:val="Hipervnculo"/>
                <w:noProof/>
              </w:rPr>
              <w:t>6.</w:t>
            </w:r>
            <w:r>
              <w:rPr>
                <w:rFonts w:eastAsiaTheme="minorEastAsia" w:cstheme="minorBidi"/>
                <w:smallCaps w:val="0"/>
                <w:noProof/>
                <w:sz w:val="24"/>
                <w:szCs w:val="24"/>
              </w:rPr>
              <w:tab/>
            </w:r>
            <w:r w:rsidRPr="00185868">
              <w:rPr>
                <w:rStyle w:val="Hipervnculo"/>
                <w:noProof/>
              </w:rPr>
              <w:t>Conclusiones</w:t>
            </w:r>
            <w:r>
              <w:rPr>
                <w:noProof/>
                <w:webHidden/>
              </w:rPr>
              <w:tab/>
            </w:r>
            <w:r>
              <w:rPr>
                <w:noProof/>
                <w:webHidden/>
              </w:rPr>
              <w:fldChar w:fldCharType="begin"/>
            </w:r>
            <w:r>
              <w:rPr>
                <w:noProof/>
                <w:webHidden/>
              </w:rPr>
              <w:instrText xml:space="preserve"> PAGEREF _Toc47387757 \h </w:instrText>
            </w:r>
            <w:r>
              <w:rPr>
                <w:noProof/>
                <w:webHidden/>
              </w:rPr>
            </w:r>
            <w:r>
              <w:rPr>
                <w:noProof/>
                <w:webHidden/>
              </w:rPr>
              <w:fldChar w:fldCharType="separate"/>
            </w:r>
            <w:r>
              <w:rPr>
                <w:noProof/>
                <w:webHidden/>
              </w:rPr>
              <w:t>103</w:t>
            </w:r>
            <w:r>
              <w:rPr>
                <w:noProof/>
                <w:webHidden/>
              </w:rPr>
              <w:fldChar w:fldCharType="end"/>
            </w:r>
          </w:hyperlink>
        </w:p>
        <w:p w:rsidR="000F6FB8" w:rsidRDefault="000F6FB8">
          <w:pPr>
            <w:pStyle w:val="TDC2"/>
            <w:tabs>
              <w:tab w:val="left" w:pos="720"/>
              <w:tab w:val="right" w:leader="dot" w:pos="8828"/>
            </w:tabs>
            <w:rPr>
              <w:rFonts w:eastAsiaTheme="minorEastAsia" w:cstheme="minorBidi"/>
              <w:smallCaps w:val="0"/>
              <w:noProof/>
              <w:sz w:val="24"/>
              <w:szCs w:val="24"/>
            </w:rPr>
          </w:pPr>
          <w:hyperlink w:anchor="_Toc47387758" w:history="1">
            <w:r w:rsidRPr="00185868">
              <w:rPr>
                <w:rStyle w:val="Hipervnculo"/>
                <w:noProof/>
              </w:rPr>
              <w:t>7.</w:t>
            </w:r>
            <w:r>
              <w:rPr>
                <w:rFonts w:eastAsiaTheme="minorEastAsia" w:cstheme="minorBidi"/>
                <w:smallCaps w:val="0"/>
                <w:noProof/>
                <w:sz w:val="24"/>
                <w:szCs w:val="24"/>
              </w:rPr>
              <w:tab/>
            </w:r>
            <w:r w:rsidRPr="00185868">
              <w:rPr>
                <w:rStyle w:val="Hipervnculo"/>
                <w:noProof/>
              </w:rPr>
              <w:t>Bibliografía</w:t>
            </w:r>
            <w:r>
              <w:rPr>
                <w:noProof/>
                <w:webHidden/>
              </w:rPr>
              <w:tab/>
            </w:r>
            <w:r>
              <w:rPr>
                <w:noProof/>
                <w:webHidden/>
              </w:rPr>
              <w:fldChar w:fldCharType="begin"/>
            </w:r>
            <w:r>
              <w:rPr>
                <w:noProof/>
                <w:webHidden/>
              </w:rPr>
              <w:instrText xml:space="preserve"> PAGEREF _Toc47387758 \h </w:instrText>
            </w:r>
            <w:r>
              <w:rPr>
                <w:noProof/>
                <w:webHidden/>
              </w:rPr>
            </w:r>
            <w:r>
              <w:rPr>
                <w:noProof/>
                <w:webHidden/>
              </w:rPr>
              <w:fldChar w:fldCharType="separate"/>
            </w:r>
            <w:r>
              <w:rPr>
                <w:noProof/>
                <w:webHidden/>
              </w:rPr>
              <w:t>107</w:t>
            </w:r>
            <w:r>
              <w:rPr>
                <w:noProof/>
                <w:webHidden/>
              </w:rPr>
              <w:fldChar w:fldCharType="end"/>
            </w:r>
          </w:hyperlink>
        </w:p>
        <w:p w:rsidR="00D936C4" w:rsidRDefault="00B219CF" w:rsidP="00D936C4">
          <w:pPr>
            <w:pStyle w:val="TDC1"/>
          </w:pPr>
          <w:r>
            <w:fldChar w:fldCharType="end"/>
          </w:r>
        </w:p>
      </w:sdtContent>
    </w:sdt>
    <w:p w:rsidR="004927C1" w:rsidRPr="00D936C4" w:rsidRDefault="00D936C4" w:rsidP="00D936C4">
      <w:pPr>
        <w:rPr>
          <w:rFonts w:asciiTheme="minorHAnsi" w:hAnsiTheme="minorHAnsi"/>
          <w:b/>
          <w:bCs/>
          <w:caps/>
          <w:sz w:val="20"/>
          <w:szCs w:val="20"/>
        </w:rPr>
      </w:pPr>
      <w:r>
        <w:br w:type="page"/>
      </w:r>
    </w:p>
    <w:p w:rsidR="002355F1" w:rsidRPr="004927C1" w:rsidRDefault="004927C1" w:rsidP="00D936C4">
      <w:pPr>
        <w:pStyle w:val="Ttulo1"/>
        <w:numPr>
          <w:ilvl w:val="0"/>
          <w:numId w:val="3"/>
        </w:numPr>
        <w:spacing w:line="360" w:lineRule="auto"/>
        <w:rPr>
          <w:color w:val="000000"/>
          <w:sz w:val="24"/>
          <w:szCs w:val="24"/>
        </w:rPr>
      </w:pPr>
      <w:bookmarkStart w:id="0" w:name="_Toc47387709"/>
      <w:r w:rsidRPr="004927C1">
        <w:rPr>
          <w:color w:val="000000"/>
          <w:sz w:val="24"/>
          <w:szCs w:val="24"/>
        </w:rPr>
        <w:lastRenderedPageBreak/>
        <w:t>Introducción</w:t>
      </w:r>
      <w:bookmarkEnd w:id="0"/>
    </w:p>
    <w:p w:rsidR="002355F1" w:rsidRDefault="005A478B" w:rsidP="00D936C4">
      <w:pPr>
        <w:spacing w:before="240" w:after="240" w:line="360" w:lineRule="auto"/>
        <w:jc w:val="both"/>
        <w:rPr>
          <w:color w:val="000000"/>
        </w:rPr>
      </w:pPr>
      <w:r>
        <w:rPr>
          <w:color w:val="000000"/>
        </w:rPr>
        <w:t xml:space="preserve">El </w:t>
      </w:r>
      <w:r>
        <w:t xml:space="preserve">presente Informe Jurídico comprenderá la justificación de la elección del </w:t>
      </w:r>
      <w:bookmarkStart w:id="1" w:name="_GoBack"/>
      <w:r>
        <w:t>Expediente</w:t>
      </w:r>
      <w:bookmarkEnd w:id="1"/>
      <w:r>
        <w:t xml:space="preserve"> 010-2009/CLC-INDECOPI, así como los antecedentes del procedimiento de autorización de concentración en el sector eléctrico y el procedimiento administrativo sancionador iniciado por la Comisión de Defensa de la Libre Competencia del Instituto Nacional de Defensa de la Competencia y de la Protección de la Propiedad Intelectual a Enel S.p.A. a partir de la presunta realización de una infracción a la Ley Antimon</w:t>
      </w:r>
      <w:r>
        <w:rPr>
          <w:color w:val="000000"/>
        </w:rPr>
        <w:t>opolio y Antioligopolio del Sector Eléctrico, Ley 26876. Acto seguido será precisado el marco legal pertinente al caso y, finalmente, la evaluación de los problemas jurídicos</w:t>
      </w:r>
      <w:r w:rsidR="00C33FC8">
        <w:rPr>
          <w:color w:val="000000"/>
        </w:rPr>
        <w:t xml:space="preserve"> así como las conclusiones a las que se arribó tras el análisis</w:t>
      </w:r>
      <w:r>
        <w:rPr>
          <w:color w:val="000000"/>
        </w:rPr>
        <w:t xml:space="preserve">. </w:t>
      </w:r>
    </w:p>
    <w:p w:rsidR="002355F1" w:rsidRDefault="005A478B" w:rsidP="00D936C4">
      <w:pPr>
        <w:spacing w:before="240" w:after="240" w:line="360" w:lineRule="auto"/>
        <w:jc w:val="both"/>
        <w:rPr>
          <w:color w:val="000000"/>
        </w:rPr>
      </w:pPr>
      <w:r>
        <w:rPr>
          <w:color w:val="000000"/>
        </w:rPr>
        <w:t xml:space="preserve">El análisis de los problemas jurídicos comprenderá, en ese sentido, la evaluación formal del procedimiento administrativo sancionador, el análisis de la infracción materia de impulso del procedimiento y un análisis de la evolución de la multa durante el procedimiento. </w:t>
      </w:r>
    </w:p>
    <w:p w:rsidR="002355F1" w:rsidRDefault="005A478B" w:rsidP="00D936C4">
      <w:pPr>
        <w:spacing w:before="240" w:after="240" w:line="360" w:lineRule="auto"/>
        <w:jc w:val="both"/>
        <w:rPr>
          <w:color w:val="000000"/>
        </w:rPr>
      </w:pPr>
      <w:r>
        <w:rPr>
          <w:color w:val="000000"/>
        </w:rPr>
        <w:t>Al respecto, sobre la evaluación formal del procedimiento administrativo sancionador, han sido identificados dos elementos que, a criterio de la autora del Informe, requieren de un análisis jur</w:t>
      </w:r>
      <w:r>
        <w:t>ídico</w:t>
      </w:r>
      <w:r>
        <w:rPr>
          <w:color w:val="000000"/>
        </w:rPr>
        <w:t xml:space="preserve"> como son 1) la autoridad que debió iniciar el procedimiento administrativo sancionador y 2) la evaluación de tipicidad de la infracción del artículo 6 de la Ley 26876. Con el informe se busca exponer las deficiencias en el inicio del procedimiento, siendo el órgano instructor quien, en respeto a las garantías del debido procedimiento, debió iniciar el procedimiento administrativo sancionador, y no el órgano a cargo de la sanción;  respecto a la tipicidad, s</w:t>
      </w:r>
      <w:r>
        <w:t>erán materia de exposición</w:t>
      </w:r>
      <w:r>
        <w:rPr>
          <w:color w:val="000000"/>
        </w:rPr>
        <w:t xml:space="preserve"> los problemas de interpretación del tipo infractor por falta de claridad en los supuestos de hecho y sanciones establecidas en el artículo 6 de la Ley 26876. </w:t>
      </w:r>
    </w:p>
    <w:p w:rsidR="002355F1" w:rsidRDefault="005A478B" w:rsidP="00D936C4">
      <w:pPr>
        <w:spacing w:before="240" w:after="240" w:line="360" w:lineRule="auto"/>
        <w:jc w:val="both"/>
        <w:rPr>
          <w:color w:val="000000"/>
        </w:rPr>
      </w:pPr>
      <w:r>
        <w:rPr>
          <w:color w:val="000000"/>
        </w:rPr>
        <w:t xml:space="preserve">La evaluación de la infracción </w:t>
      </w:r>
      <w:r w:rsidR="00C8383A">
        <w:rPr>
          <w:color w:val="000000"/>
        </w:rPr>
        <w:t>que</w:t>
      </w:r>
      <w:r>
        <w:rPr>
          <w:color w:val="000000"/>
        </w:rPr>
        <w:t xml:space="preserve"> impuls</w:t>
      </w:r>
      <w:r w:rsidR="00C8383A">
        <w:rPr>
          <w:color w:val="000000"/>
        </w:rPr>
        <w:t>ó el</w:t>
      </w:r>
      <w:r>
        <w:rPr>
          <w:color w:val="000000"/>
        </w:rPr>
        <w:t xml:space="preserve"> procedimiento comprende un estudio de la figura del</w:t>
      </w:r>
      <w:r>
        <w:t xml:space="preserve"> cierre anticipado de la operación sin pronunciamiento de la autoridad de competencia o</w:t>
      </w:r>
      <w:r>
        <w:rPr>
          <w:color w:val="000000"/>
        </w:rPr>
        <w:t xml:space="preserve"> </w:t>
      </w:r>
      <w:r>
        <w:rPr>
          <w:i/>
          <w:color w:val="000000"/>
        </w:rPr>
        <w:t>gun jumping</w:t>
      </w:r>
      <w:r>
        <w:rPr>
          <w:color w:val="000000"/>
        </w:rPr>
        <w:t>. Si bien desde este informe coincidimos en que Enel S.p.A. sí realizó una implementación sin autorización de la Comisi</w:t>
      </w:r>
      <w:r>
        <w:t xml:space="preserve">ón </w:t>
      </w:r>
      <w:r>
        <w:rPr>
          <w:color w:val="000000"/>
        </w:rPr>
        <w:t>y, en ese aspecto, no existe dis</w:t>
      </w:r>
      <w:r>
        <w:t xml:space="preserve">crepancia </w:t>
      </w:r>
      <w:r>
        <w:rPr>
          <w:color w:val="000000"/>
        </w:rPr>
        <w:t xml:space="preserve">sobre la determinación de responsabilidad por parte de la Comisión, es importante el análisis de los criterios empleados por la Comisión para evaluar la operación, </w:t>
      </w:r>
      <w:r>
        <w:rPr>
          <w:color w:val="000000"/>
        </w:rPr>
        <w:lastRenderedPageBreak/>
        <w:t xml:space="preserve">así como la discusión en torno a las medidas propuestas para </w:t>
      </w:r>
      <w:r>
        <w:t xml:space="preserve">la suspensión de los efectos </w:t>
      </w:r>
      <w:r>
        <w:rPr>
          <w:color w:val="000000"/>
        </w:rPr>
        <w:t xml:space="preserve">por Enel S.p.A.. Al respecto, la figura de consumación previa a la autorización viene siendo analizado por autoridades de competencia extranjeras y, ante la falta de casuística en Perú que nos permita considerar otros pronunciamientos sobre “realización de concentración, tras notificar, pero sin recibir la autorización”; resulta </w:t>
      </w:r>
      <w:r w:rsidR="009337EE">
        <w:rPr>
          <w:color w:val="000000"/>
        </w:rPr>
        <w:t xml:space="preserve">imprescindible </w:t>
      </w:r>
      <w:r>
        <w:rPr>
          <w:color w:val="000000"/>
        </w:rPr>
        <w:t xml:space="preserve">evaluar los criterios de análisis empleados por las autoridades de competencia </w:t>
      </w:r>
      <w:r w:rsidR="009337EE">
        <w:rPr>
          <w:color w:val="000000"/>
        </w:rPr>
        <w:t>extranjeras</w:t>
      </w:r>
      <w:r>
        <w:rPr>
          <w:color w:val="000000"/>
        </w:rPr>
        <w:t xml:space="preserve"> y a partir de e</w:t>
      </w:r>
      <w:r w:rsidR="009337EE">
        <w:rPr>
          <w:color w:val="000000"/>
        </w:rPr>
        <w:t>llo</w:t>
      </w:r>
      <w:r>
        <w:rPr>
          <w:color w:val="000000"/>
        </w:rPr>
        <w:t>, proponer nuevos criterios acorde al objetivo de la pol</w:t>
      </w:r>
      <w:r>
        <w:t>ítica de competencia y la</w:t>
      </w:r>
      <w:r>
        <w:rPr>
          <w:color w:val="000000"/>
        </w:rPr>
        <w:t xml:space="preserve"> </w:t>
      </w:r>
      <w:r>
        <w:t>ley de control de concentraciones</w:t>
      </w:r>
      <w:r>
        <w:rPr>
          <w:color w:val="000000"/>
        </w:rPr>
        <w:t xml:space="preserve">. </w:t>
      </w:r>
    </w:p>
    <w:p w:rsidR="002355F1" w:rsidRDefault="005A478B" w:rsidP="00D936C4">
      <w:pPr>
        <w:spacing w:before="240" w:after="240" w:line="360" w:lineRule="auto"/>
        <w:jc w:val="both"/>
        <w:rPr>
          <w:color w:val="000000"/>
        </w:rPr>
      </w:pPr>
      <w:r>
        <w:rPr>
          <w:color w:val="000000"/>
        </w:rPr>
        <w:t>Habiendo desarrollado la figura de consumación previa a la autorización, el último nivel de análisis en el informe comprende la evaluación de la imposición de la multa de 1000 Unidades Impositivas Tributarias por parte de la Comisi</w:t>
      </w:r>
      <w:r>
        <w:t>ón a Enel S.p.A.</w:t>
      </w:r>
      <w:r>
        <w:rPr>
          <w:color w:val="000000"/>
        </w:rPr>
        <w:t>. Frente a esta imposición, la segunda instancia</w:t>
      </w:r>
      <w:r>
        <w:t>, la Sala de Defensa de la Competencia Nº 1 del Tribunal de Defensa de la Competencia y de la Propiedad Intelectual</w:t>
      </w:r>
      <w:r>
        <w:rPr>
          <w:rFonts w:ascii="Arial" w:eastAsia="Arial" w:hAnsi="Arial" w:cs="Arial"/>
          <w:b/>
          <w:sz w:val="16"/>
          <w:szCs w:val="16"/>
        </w:rPr>
        <w:t>,</w:t>
      </w:r>
      <w:r>
        <w:rPr>
          <w:color w:val="000000"/>
        </w:rPr>
        <w:t xml:space="preserve"> decidió declarar la nulidad de la multa e imponer 100 Unidades Impositivas Tributarias, ello en atención a que en la primera instancia, en contra del principio de razonabilidad de la Ley de Procedimiento Administrativo General, la Comisi</w:t>
      </w:r>
      <w:r>
        <w:t xml:space="preserve">ón </w:t>
      </w:r>
      <w:r>
        <w:rPr>
          <w:color w:val="000000"/>
        </w:rPr>
        <w:t xml:space="preserve">omitió </w:t>
      </w:r>
      <w:r>
        <w:t>realizar</w:t>
      </w:r>
      <w:r>
        <w:rPr>
          <w:color w:val="000000"/>
        </w:rPr>
        <w:t xml:space="preserve"> la graduación de la multa según los criterios y e</w:t>
      </w:r>
      <w:r>
        <w:t>n el orden</w:t>
      </w:r>
      <w:r>
        <w:rPr>
          <w:color w:val="000000"/>
        </w:rPr>
        <w:t xml:space="preserve"> establecido en el artículo 230.3 de la Ley de Procedimiento Administrativo General. </w:t>
      </w:r>
    </w:p>
    <w:p w:rsidR="009337EE" w:rsidRPr="009E79F9" w:rsidRDefault="009337EE" w:rsidP="00D936C4">
      <w:pPr>
        <w:spacing w:before="240" w:after="240" w:line="360" w:lineRule="auto"/>
        <w:jc w:val="both"/>
        <w:rPr>
          <w:color w:val="000000"/>
        </w:rPr>
      </w:pPr>
      <w:r>
        <w:rPr>
          <w:color w:val="000000"/>
        </w:rPr>
        <w:t xml:space="preserve">Así, el </w:t>
      </w:r>
      <w:r w:rsidR="0093393D">
        <w:rPr>
          <w:color w:val="000000"/>
        </w:rPr>
        <w:t>Informe</w:t>
      </w:r>
      <w:r>
        <w:rPr>
          <w:color w:val="000000"/>
        </w:rPr>
        <w:t xml:space="preserve"> comprende una evaluación integral de dos procedimientos: control previo de concentraciones y administrativo sancionador. Con ello en mente, es fundamental comprender que la autoridad </w:t>
      </w:r>
      <w:r w:rsidR="0093393D">
        <w:rPr>
          <w:color w:val="000000"/>
        </w:rPr>
        <w:t xml:space="preserve">de competencia </w:t>
      </w:r>
      <w:r>
        <w:rPr>
          <w:color w:val="000000"/>
        </w:rPr>
        <w:t xml:space="preserve">no solo vigila el cumplimiento de las normas de control previo, sino que dicha vigilancia encuentra un soporte real en el régimen sancionador. Ambos procedimientos requieren tanto del conocimiento particular del mercado de electricidad en Perú y la dinámica de fusiones y adquisiciones, como del ámbito procedimental administrativo. Reconociendo las bases del trabajo, es momento de justificar la relevancia del mismo y el por qué de su elección y acto seguido, continuar con el desarrollo del mismo. </w:t>
      </w:r>
    </w:p>
    <w:p w:rsidR="002355F1" w:rsidRDefault="005A478B" w:rsidP="00D936C4">
      <w:pPr>
        <w:pStyle w:val="Ttulo1"/>
        <w:numPr>
          <w:ilvl w:val="0"/>
          <w:numId w:val="3"/>
        </w:numPr>
        <w:spacing w:line="360" w:lineRule="auto"/>
        <w:rPr>
          <w:color w:val="000000"/>
          <w:sz w:val="24"/>
          <w:szCs w:val="24"/>
        </w:rPr>
      </w:pPr>
      <w:bookmarkStart w:id="2" w:name="_Toc47387710"/>
      <w:r>
        <w:rPr>
          <w:color w:val="000000"/>
          <w:sz w:val="24"/>
          <w:szCs w:val="24"/>
        </w:rPr>
        <w:lastRenderedPageBreak/>
        <w:t>Justificación de la elección</w:t>
      </w:r>
      <w:bookmarkEnd w:id="2"/>
    </w:p>
    <w:p w:rsidR="002355F1" w:rsidRDefault="005A478B" w:rsidP="00D936C4">
      <w:pPr>
        <w:spacing w:before="240" w:after="240" w:line="360" w:lineRule="auto"/>
        <w:jc w:val="both"/>
        <w:rPr>
          <w:color w:val="000000"/>
        </w:rPr>
      </w:pPr>
      <w:r>
        <w:rPr>
          <w:color w:val="000000"/>
        </w:rPr>
        <w:t xml:space="preserve">La elección del Expediente 010-2009/CLC se ve motivada por la novedad que implica el desarrollo de un procedimiento administrativo sancionador, a partir de un procedimiento de autorización de concentración en </w:t>
      </w:r>
      <w:r>
        <w:t xml:space="preserve">el sector </w:t>
      </w:r>
      <w:r>
        <w:rPr>
          <w:color w:val="000000"/>
        </w:rPr>
        <w:t xml:space="preserve">eléctrico. </w:t>
      </w:r>
    </w:p>
    <w:p w:rsidR="009337EE" w:rsidRDefault="0093393D" w:rsidP="00D936C4">
      <w:pPr>
        <w:spacing w:before="240" w:after="240" w:line="360" w:lineRule="auto"/>
        <w:jc w:val="both"/>
        <w:rPr>
          <w:color w:val="000000"/>
        </w:rPr>
      </w:pPr>
      <w:r>
        <w:rPr>
          <w:color w:val="000000"/>
        </w:rPr>
        <w:t xml:space="preserve">Ambos procedimientos permiten no solo abarcar el análisis tradicional del procedimiento administrativo sancionador y sus garantías, sino que permite un estudio de </w:t>
      </w:r>
      <w:r w:rsidR="005A478B">
        <w:rPr>
          <w:color w:val="000000"/>
        </w:rPr>
        <w:t xml:space="preserve">la figura del control de concentraciones en el </w:t>
      </w:r>
      <w:r>
        <w:rPr>
          <w:color w:val="000000"/>
        </w:rPr>
        <w:t xml:space="preserve">el marco </w:t>
      </w:r>
      <w:r w:rsidR="005A478B">
        <w:rPr>
          <w:color w:val="000000"/>
        </w:rPr>
        <w:t xml:space="preserve">de una política de competencia </w:t>
      </w:r>
      <w:r>
        <w:rPr>
          <w:color w:val="000000"/>
        </w:rPr>
        <w:t xml:space="preserve">en el Perú, así como de </w:t>
      </w:r>
      <w:r w:rsidR="005A478B">
        <w:rPr>
          <w:color w:val="000000"/>
        </w:rPr>
        <w:t>las infracciones que pueden nacer a partir de este control.</w:t>
      </w:r>
    </w:p>
    <w:p w:rsidR="0093393D" w:rsidRDefault="0093393D" w:rsidP="00D936C4">
      <w:pPr>
        <w:spacing w:before="240" w:after="240" w:line="360" w:lineRule="auto"/>
        <w:jc w:val="both"/>
        <w:rPr>
          <w:color w:val="000000"/>
        </w:rPr>
      </w:pPr>
      <w:r>
        <w:rPr>
          <w:color w:val="000000"/>
        </w:rPr>
        <w:t>Este</w:t>
      </w:r>
      <w:r w:rsidR="00D52CBD">
        <w:rPr>
          <w:color w:val="000000"/>
        </w:rPr>
        <w:t xml:space="preserve"> caso, entonces,</w:t>
      </w:r>
      <w:r>
        <w:rPr>
          <w:color w:val="000000"/>
        </w:rPr>
        <w:t xml:space="preserve"> permite abarcar </w:t>
      </w:r>
      <w:r w:rsidR="00D52CBD">
        <w:rPr>
          <w:color w:val="000000"/>
        </w:rPr>
        <w:t>el</w:t>
      </w:r>
      <w:r>
        <w:rPr>
          <w:color w:val="000000"/>
        </w:rPr>
        <w:t xml:space="preserve"> control previo</w:t>
      </w:r>
      <w:r w:rsidR="00D52CBD">
        <w:rPr>
          <w:color w:val="000000"/>
        </w:rPr>
        <w:t xml:space="preserve"> en el sector eléctrico desde la libre competencia, así como la rama sancionadora del derecho que resguarda el cumplimiento del control previo ya citado. Pueden parecer ambos temas lejanos, pero en casos como el materia. del Expediente 010-2009/CLC, es visible como ambos mundos -el control previo y la sanción- hacen uso de sus herramientas para resguardar la atención de los agentes económicos al ordenamiento. </w:t>
      </w:r>
    </w:p>
    <w:p w:rsidR="002355F1" w:rsidRDefault="005A478B" w:rsidP="00D936C4">
      <w:pPr>
        <w:pStyle w:val="Ttulo1"/>
        <w:numPr>
          <w:ilvl w:val="0"/>
          <w:numId w:val="3"/>
        </w:numPr>
        <w:spacing w:line="360" w:lineRule="auto"/>
        <w:rPr>
          <w:color w:val="000000"/>
          <w:sz w:val="24"/>
          <w:szCs w:val="24"/>
        </w:rPr>
      </w:pPr>
      <w:bookmarkStart w:id="3" w:name="_Toc47387711"/>
      <w:r>
        <w:rPr>
          <w:color w:val="000000"/>
          <w:sz w:val="24"/>
          <w:szCs w:val="24"/>
        </w:rPr>
        <w:t>Antecedentes</w:t>
      </w:r>
      <w:bookmarkEnd w:id="3"/>
      <w:r>
        <w:rPr>
          <w:color w:val="000000"/>
          <w:sz w:val="24"/>
          <w:szCs w:val="24"/>
        </w:rPr>
        <w:t xml:space="preserve"> </w:t>
      </w:r>
    </w:p>
    <w:p w:rsidR="002355F1" w:rsidRDefault="005A478B" w:rsidP="00D936C4">
      <w:pPr>
        <w:spacing w:line="360" w:lineRule="auto"/>
        <w:jc w:val="both"/>
        <w:rPr>
          <w:color w:val="000000"/>
        </w:rPr>
      </w:pPr>
      <w:r>
        <w:rPr>
          <w:color w:val="000000"/>
        </w:rPr>
        <w:t xml:space="preserve">Si bien el procedimiento administrativo sancionador iniciado por la Comisión de Defensa de la Libre Competencia del </w:t>
      </w:r>
      <w:r w:rsidR="00210BB9">
        <w:t>del Instituto Nacional de Defensa de la Competencia y de la Protección de la Propiedad Intelectual</w:t>
      </w:r>
      <w:r>
        <w:rPr>
          <w:color w:val="000000"/>
        </w:rPr>
        <w:t xml:space="preserve"> (en adelante, la Comisión) es la materia principal a discutir en el informe, </w:t>
      </w:r>
      <w:r>
        <w:t>el ejercicio de la potestad sancionadora de la Comisión</w:t>
      </w:r>
      <w:r>
        <w:rPr>
          <w:color w:val="000000"/>
        </w:rPr>
        <w:t xml:space="preserve"> tiene como origen el procedimiento administrativo de autorización de concentración en el sector eléctrico notificado por Enel S.P.A. (en adelante, Enel). </w:t>
      </w:r>
    </w:p>
    <w:p w:rsidR="00C33FC8" w:rsidRPr="00C33FC8" w:rsidRDefault="00C33FC8"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Es en el marco del procedimiento de autorización de concentración en el cual Enel incurre en un supuesto de infracción administrativa a la Ley Antimonopolio y Antioligopolio del Sector Eléctrico, Ley 26876 (en adelante, Ley 26876), lo cual origina el inicio del procedimiento administrativo sancionador de la Comisión contra el agente Enel. En ese sentido, a efectos de una mayor comprensión del contexto del procedimiento administrativo </w:t>
      </w:r>
      <w:r>
        <w:rPr>
          <w:color w:val="000000"/>
        </w:rPr>
        <w:lastRenderedPageBreak/>
        <w:t xml:space="preserve">sancionador, los antecedentes comprenderán los hechos valorados también en el marco del procedimiento de autorización de concentración en el sector eléctrico impulsado por Enel. </w:t>
      </w:r>
    </w:p>
    <w:p w:rsidR="002355F1" w:rsidRDefault="005A478B" w:rsidP="00D936C4">
      <w:pPr>
        <w:pStyle w:val="Ttulo2"/>
        <w:numPr>
          <w:ilvl w:val="1"/>
          <w:numId w:val="3"/>
        </w:numPr>
        <w:spacing w:line="360" w:lineRule="auto"/>
        <w:rPr>
          <w:color w:val="000000"/>
          <w:sz w:val="24"/>
          <w:szCs w:val="24"/>
        </w:rPr>
      </w:pPr>
      <w:bookmarkStart w:id="4" w:name="_Toc47387712"/>
      <w:r>
        <w:rPr>
          <w:color w:val="000000"/>
          <w:sz w:val="24"/>
          <w:szCs w:val="24"/>
        </w:rPr>
        <w:t>Autorización previa para operación de concentración en el sector eléctrico</w:t>
      </w:r>
      <w:bookmarkEnd w:id="4"/>
    </w:p>
    <w:p w:rsidR="002355F1" w:rsidRDefault="005A478B" w:rsidP="00D936C4">
      <w:pPr>
        <w:spacing w:line="360" w:lineRule="auto"/>
        <w:jc w:val="both"/>
        <w:rPr>
          <w:color w:val="000000"/>
        </w:rPr>
      </w:pPr>
      <w:r>
        <w:rPr>
          <w:color w:val="000000"/>
        </w:rPr>
        <w:t>En el año 2007</w:t>
      </w:r>
      <w:r w:rsidR="00FF7DC7">
        <w:rPr>
          <w:color w:val="000000"/>
        </w:rPr>
        <w:t xml:space="preserve">, Enel, </w:t>
      </w:r>
      <w:r>
        <w:rPr>
          <w:color w:val="000000"/>
        </w:rPr>
        <w:t>empresa italiana dedicada a la generación</w:t>
      </w:r>
      <w:r>
        <w:t>, y</w:t>
      </w:r>
      <w:r>
        <w:rPr>
          <w:color w:val="000000"/>
        </w:rPr>
        <w:t xml:space="preserve"> Acciona S.A.(en adelante, Acciona), empresa española dedicada a</w:t>
      </w:r>
      <w:r w:rsidR="00FF7DC7">
        <w:rPr>
          <w:color w:val="000000"/>
        </w:rPr>
        <w:t xml:space="preserve">l desarrollo de proyectos inmobiliarios y la </w:t>
      </w:r>
      <w:r>
        <w:rPr>
          <w:color w:val="000000"/>
        </w:rPr>
        <w:t>generación, controlaban de forma conjunta a Endesa S.A. , empresa española con presencia en distintos países del mundo dedicada a los sectores eléctricos, gasífero y de aguas.  Enel tenía una participación como accionista en Endesa de 9,993% y Acciona, 21,036%, no ejerciendo ninguna de ellas control sobre Endesa.</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Por el</w:t>
      </w:r>
      <w:r>
        <w:rPr>
          <w:b/>
          <w:color w:val="000000"/>
        </w:rPr>
        <w:t xml:space="preserve"> “</w:t>
      </w:r>
      <w:r>
        <w:rPr>
          <w:color w:val="000000"/>
        </w:rPr>
        <w:t xml:space="preserve">Acuerdo sobre Acciones de Endesa”, suscrito el 26 de marzo de 2007,  Enel, Acciona y sus subsidiarias, Finanzas Dos S.A. (en adelante, Finanzas Dos) y Enel Energy Europe SrL (en adelante, Enel Europe), se obligaron a formular el lanzamiento de una Oferta Pública de Adquisición para la adquisición conjunta sobre las acciones de Endesa. </w:t>
      </w:r>
      <w:r w:rsidR="004D7807">
        <w:rPr>
          <w:color w:val="000000"/>
        </w:rPr>
        <w:t>C</w:t>
      </w:r>
      <w:r>
        <w:rPr>
          <w:color w:val="000000"/>
        </w:rPr>
        <w:t>omo resultado de dicha operación,</w:t>
      </w:r>
      <w:r w:rsidR="004D7807" w:rsidRPr="004D7807">
        <w:rPr>
          <w:color w:val="000000"/>
        </w:rPr>
        <w:t xml:space="preserve"> </w:t>
      </w:r>
      <w:r w:rsidR="004D7807">
        <w:rPr>
          <w:color w:val="000000"/>
        </w:rPr>
        <w:t>autorizada por la Comisión Nacional de Mercado de Valores de España el 25 de julio de 2007,</w:t>
      </w:r>
      <w:r>
        <w:rPr>
          <w:color w:val="000000"/>
        </w:rPr>
        <w:t xml:space="preserve"> Enel elevó su participación en Endesa</w:t>
      </w:r>
      <w:r w:rsidR="00E769D0">
        <w:rPr>
          <w:color w:val="000000"/>
        </w:rPr>
        <w:t>,</w:t>
      </w:r>
      <w:r>
        <w:rPr>
          <w:color w:val="000000"/>
        </w:rPr>
        <w:t xml:space="preserve"> a través de Enel Europe</w:t>
      </w:r>
      <w:r w:rsidR="00E769D0">
        <w:rPr>
          <w:color w:val="000000"/>
        </w:rPr>
        <w:t>,</w:t>
      </w:r>
      <w:r>
        <w:rPr>
          <w:color w:val="000000"/>
        </w:rPr>
        <w:t xml:space="preserve"> a aproximadamente 67% y Acciona, junto a Finanzas Dos al 25%, situación que otorgaba el control conjunto sobre Endesa. Esta situación de control conjunto fue declarada por las autoridades de defensa de la competencia, a través de la Decisión de la Comisión Europea del 5 de julio de 2007. </w:t>
      </w:r>
    </w:p>
    <w:p w:rsidR="002355F1" w:rsidRDefault="002355F1" w:rsidP="00D936C4">
      <w:pPr>
        <w:spacing w:line="360" w:lineRule="auto"/>
        <w:jc w:val="both"/>
      </w:pPr>
    </w:p>
    <w:p w:rsidR="002355F1" w:rsidRPr="001F214F" w:rsidRDefault="00E769D0" w:rsidP="00D936C4">
      <w:pPr>
        <w:spacing w:line="360" w:lineRule="auto"/>
        <w:jc w:val="both"/>
      </w:pPr>
      <w:r>
        <w:t>Para una mejor comprensión de la figura societaria, l</w:t>
      </w:r>
      <w:r w:rsidR="005A478B">
        <w:t>a estructura de control sobre Endesa, al año 2007, se encontraba determinada de la siguiente manera:</w:t>
      </w:r>
    </w:p>
    <w:p w:rsidR="002355F1" w:rsidRDefault="005A478B" w:rsidP="00D936C4">
      <w:pPr>
        <w:spacing w:line="360" w:lineRule="auto"/>
        <w:jc w:val="center"/>
        <w:rPr>
          <w:color w:val="000000"/>
        </w:rPr>
      </w:pPr>
      <w:r>
        <w:rPr>
          <w:noProof/>
          <w:color w:val="000000"/>
        </w:rPr>
        <w:lastRenderedPageBreak/>
        <w:drawing>
          <wp:inline distT="0" distB="0" distL="0" distR="0" wp14:editId="13AEDD39">
            <wp:extent cx="3682199" cy="2572512"/>
            <wp:effectExtent l="0" t="0" r="1270" b="5715"/>
            <wp:docPr id="7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l="4805" r="4520" b="1949"/>
                    <a:stretch>
                      <a:fillRect/>
                    </a:stretch>
                  </pic:blipFill>
                  <pic:spPr>
                    <a:xfrm>
                      <a:off x="0" y="0"/>
                      <a:ext cx="3689114" cy="2577343"/>
                    </a:xfrm>
                    <a:prstGeom prst="rect">
                      <a:avLst/>
                    </a:prstGeom>
                    <a:ln/>
                  </pic:spPr>
                </pic:pic>
              </a:graphicData>
            </a:graphic>
          </wp:inline>
        </w:drawing>
      </w:r>
    </w:p>
    <w:p w:rsidR="002355F1" w:rsidRDefault="005A478B" w:rsidP="00D936C4">
      <w:pPr>
        <w:spacing w:line="360" w:lineRule="auto"/>
        <w:ind w:left="1440" w:firstLine="720"/>
        <w:jc w:val="both"/>
        <w:rPr>
          <w:sz w:val="20"/>
          <w:szCs w:val="20"/>
        </w:rPr>
      </w:pPr>
      <w:r>
        <w:rPr>
          <w:sz w:val="20"/>
          <w:szCs w:val="20"/>
        </w:rPr>
        <w:t>Fuente: Resolución 001-2010/CLC-INDECOPI</w:t>
      </w:r>
    </w:p>
    <w:p w:rsidR="002355F1" w:rsidRDefault="005A478B" w:rsidP="00D936C4">
      <w:pPr>
        <w:spacing w:line="360" w:lineRule="auto"/>
        <w:ind w:left="1440" w:firstLine="720"/>
        <w:jc w:val="both"/>
        <w:rPr>
          <w:color w:val="000000"/>
          <w:sz w:val="20"/>
          <w:szCs w:val="20"/>
        </w:rPr>
      </w:pPr>
      <w:r>
        <w:rPr>
          <w:color w:val="000000"/>
          <w:sz w:val="20"/>
          <w:szCs w:val="20"/>
        </w:rPr>
        <w:t>Elaboración propia</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Resulta importante precisar que, en el marco del “Acuerdo sobre Acciones de Endesa”, Enel otorgó a Acciona una </w:t>
      </w:r>
      <w:sdt>
        <w:sdtPr>
          <w:tag w:val="goog_rdk_0"/>
          <w:id w:val="-1914390714"/>
        </w:sdtPr>
        <w:sdtContent/>
      </w:sdt>
      <w:sdt>
        <w:sdtPr>
          <w:tag w:val="goog_rdk_1"/>
          <w:id w:val="1323085312"/>
        </w:sdtPr>
        <w:sdtContent/>
      </w:sdt>
      <w:sdt>
        <w:sdtPr>
          <w:tag w:val="goog_rdk_2"/>
          <w:id w:val="-1676955817"/>
        </w:sdtPr>
        <w:sdtContent/>
      </w:sdt>
      <w:r>
        <w:rPr>
          <w:color w:val="000000"/>
        </w:rPr>
        <w:t>“Opción de Venta”, en virtud de la cual Acciona tenía el derecho de transferir a Enel la totalidad de acciones de Endesa que sean de su propiedad.</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El 20 de febrero de 2009, Enel, Acciona, sus subsidiarias y Endesa celebraron un “Contrato de Compraventa de Acciones y Transmisión de Activos entre Acciona, Finanzas Dos S.A., Enel, Enel Energy Europe SrL y Endesa”, mediante el cual convinieron ejercer la opción de venta sobre las acciones de Acciona en Endesa, a favor de Enel. No obstante, el cierre de la transferencia estaba sujeta al cumplimiento de determinadas condiciones suspensivas enunciadas en el contrato, estableciendo una de las condiciones que para proceder a la transferencia se debía obtener las autorizaciones sin condiciones pertinentes de las autoridades de competencia nacionales o comunitarias. </w:t>
      </w:r>
    </w:p>
    <w:p w:rsidR="00C47E3E" w:rsidRDefault="00C47E3E" w:rsidP="00D936C4">
      <w:pPr>
        <w:spacing w:line="360" w:lineRule="auto"/>
        <w:jc w:val="both"/>
        <w:rPr>
          <w:color w:val="000000"/>
        </w:rPr>
      </w:pPr>
    </w:p>
    <w:p w:rsidR="002355F1" w:rsidRPr="00EF0CA8" w:rsidRDefault="005A478B" w:rsidP="00D936C4">
      <w:pPr>
        <w:spacing w:line="360" w:lineRule="auto"/>
        <w:ind w:left="1440" w:hanging="720"/>
        <w:jc w:val="both"/>
        <w:rPr>
          <w:b/>
          <w:color w:val="000000"/>
          <w:sz w:val="20"/>
          <w:szCs w:val="20"/>
        </w:rPr>
      </w:pPr>
      <w:r w:rsidRPr="00EF0CA8">
        <w:rPr>
          <w:b/>
          <w:color w:val="000000"/>
          <w:sz w:val="20"/>
          <w:szCs w:val="20"/>
        </w:rPr>
        <w:t>Contrato de compra venta de acciones de Endesa</w:t>
      </w:r>
      <w:r w:rsidR="00BB2214">
        <w:rPr>
          <w:b/>
          <w:color w:val="000000"/>
          <w:sz w:val="20"/>
          <w:szCs w:val="20"/>
        </w:rPr>
        <w:t xml:space="preserve"> – Descargos del 5 de agosto de 2009</w:t>
      </w:r>
    </w:p>
    <w:p w:rsidR="00C47E3E" w:rsidRDefault="005A478B" w:rsidP="00D936C4">
      <w:pPr>
        <w:spacing w:line="360" w:lineRule="auto"/>
        <w:ind w:left="1440" w:hanging="720"/>
        <w:jc w:val="both"/>
        <w:rPr>
          <w:color w:val="000000"/>
          <w:sz w:val="20"/>
          <w:szCs w:val="20"/>
        </w:rPr>
      </w:pPr>
      <w:r w:rsidRPr="00EF0CA8">
        <w:rPr>
          <w:color w:val="000000"/>
          <w:sz w:val="20"/>
          <w:szCs w:val="20"/>
        </w:rPr>
        <w:t xml:space="preserve">9. Condiciones suspensivas. </w:t>
      </w:r>
    </w:p>
    <w:p w:rsidR="002355F1" w:rsidRPr="00EF0CA8" w:rsidRDefault="005A478B" w:rsidP="00D936C4">
      <w:pPr>
        <w:spacing w:line="360" w:lineRule="auto"/>
        <w:ind w:left="1440" w:hanging="720"/>
        <w:jc w:val="both"/>
        <w:rPr>
          <w:sz w:val="20"/>
          <w:szCs w:val="20"/>
        </w:rPr>
      </w:pPr>
      <w:r w:rsidRPr="00EF0CA8">
        <w:rPr>
          <w:color w:val="000000"/>
          <w:sz w:val="20"/>
          <w:szCs w:val="20"/>
        </w:rPr>
        <w:t xml:space="preserve">(…) </w:t>
      </w:r>
    </w:p>
    <w:p w:rsidR="002355F1" w:rsidRDefault="005A478B" w:rsidP="00D936C4">
      <w:pPr>
        <w:spacing w:line="360" w:lineRule="auto"/>
        <w:ind w:left="720"/>
        <w:jc w:val="both"/>
        <w:rPr>
          <w:color w:val="000000"/>
          <w:sz w:val="22"/>
          <w:szCs w:val="22"/>
        </w:rPr>
      </w:pPr>
      <w:r w:rsidRPr="00EF0CA8">
        <w:rPr>
          <w:color w:val="000000"/>
          <w:sz w:val="20"/>
          <w:szCs w:val="20"/>
        </w:rPr>
        <w:t>9.1.1. Como condición en beneficio de ENEL, la obtención por su parte de las pertinente autorización sin condiciones (o la no oposición, en los términos previstos legalmente) de las autoridades competentes de Defensa de la Competencia, nacionales o comunitarias, que fueran necesarias para la adquisición de las Acciones.</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Asimismo, Enel y Acciona acordaron que, una vez cumplidas las condiciones suspensivas, las partes fijarían la fecha de formalización de la transferencia de acciones de Acciona sobre Endesa, lo cual debía acontecer dentro de los 15 días inmediatamente posteriores a la fecha en que tengan constancia del cumplimiento de todas las condiciones suspensivas. </w:t>
      </w:r>
    </w:p>
    <w:p w:rsidR="00C47E3E" w:rsidRPr="009E79F9" w:rsidRDefault="00C47E3E" w:rsidP="00D936C4">
      <w:pPr>
        <w:spacing w:line="360" w:lineRule="auto"/>
        <w:jc w:val="both"/>
        <w:rPr>
          <w:color w:val="000000"/>
        </w:rPr>
      </w:pPr>
    </w:p>
    <w:p w:rsidR="002355F1" w:rsidRPr="00EF0CA8" w:rsidRDefault="005A478B" w:rsidP="00D936C4">
      <w:pPr>
        <w:spacing w:line="360" w:lineRule="auto"/>
        <w:ind w:left="720"/>
        <w:jc w:val="both"/>
        <w:rPr>
          <w:b/>
          <w:color w:val="000000"/>
          <w:sz w:val="20"/>
          <w:szCs w:val="20"/>
        </w:rPr>
      </w:pPr>
      <w:r w:rsidRPr="00EF0CA8">
        <w:rPr>
          <w:b/>
          <w:color w:val="000000"/>
          <w:sz w:val="20"/>
          <w:szCs w:val="20"/>
        </w:rPr>
        <w:t>Contrato de compra venta de acciones de Endesa</w:t>
      </w:r>
    </w:p>
    <w:p w:rsidR="00C47E3E" w:rsidRDefault="005A478B" w:rsidP="00D936C4">
      <w:pPr>
        <w:spacing w:line="360" w:lineRule="auto"/>
        <w:ind w:left="720"/>
        <w:jc w:val="both"/>
        <w:rPr>
          <w:color w:val="000000"/>
          <w:sz w:val="20"/>
          <w:szCs w:val="20"/>
        </w:rPr>
      </w:pPr>
      <w:r w:rsidRPr="00EF0CA8">
        <w:rPr>
          <w:color w:val="000000"/>
          <w:sz w:val="20"/>
          <w:szCs w:val="20"/>
        </w:rPr>
        <w:t xml:space="preserve">9. Condiciones suspensivas. </w:t>
      </w:r>
    </w:p>
    <w:p w:rsidR="002355F1" w:rsidRPr="00EF0CA8" w:rsidRDefault="005A478B" w:rsidP="00D936C4">
      <w:pPr>
        <w:spacing w:line="360" w:lineRule="auto"/>
        <w:ind w:left="720"/>
        <w:jc w:val="both"/>
        <w:rPr>
          <w:color w:val="000000"/>
          <w:sz w:val="20"/>
          <w:szCs w:val="20"/>
        </w:rPr>
      </w:pPr>
      <w:r w:rsidRPr="00EF0CA8">
        <w:rPr>
          <w:color w:val="000000"/>
          <w:sz w:val="20"/>
          <w:szCs w:val="20"/>
        </w:rPr>
        <w:t xml:space="preserve">(…) </w:t>
      </w:r>
    </w:p>
    <w:p w:rsidR="002355F1" w:rsidRPr="00EF0CA8" w:rsidRDefault="005A478B" w:rsidP="00D936C4">
      <w:pPr>
        <w:spacing w:line="360" w:lineRule="auto"/>
        <w:ind w:left="720"/>
        <w:jc w:val="both"/>
        <w:rPr>
          <w:color w:val="000000"/>
          <w:sz w:val="20"/>
          <w:szCs w:val="20"/>
        </w:rPr>
      </w:pPr>
      <w:r w:rsidRPr="00EF0CA8">
        <w:rPr>
          <w:color w:val="000000"/>
          <w:sz w:val="20"/>
          <w:szCs w:val="20"/>
        </w:rPr>
        <w:t>9.5 (Habiéndose cumplido todas las Condiciones Suspensivas del contrato pertinentes) las partes se encuentran en la obligación de fijar la fecha de formalización de la transferencia, dentro de los quince días inmediatamente posteriores a la fecha en que tengan constancia del cumpimiento de todas las Condiciones Suspensivas.</w:t>
      </w:r>
    </w:p>
    <w:p w:rsidR="002355F1" w:rsidRDefault="005A478B" w:rsidP="00D936C4">
      <w:pPr>
        <w:spacing w:line="360" w:lineRule="auto"/>
        <w:jc w:val="both"/>
        <w:rPr>
          <w:color w:val="000000"/>
        </w:rPr>
      </w:pPr>
      <w:r>
        <w:rPr>
          <w:color w:val="000000"/>
        </w:rPr>
        <w:tab/>
      </w:r>
    </w:p>
    <w:p w:rsidR="002355F1" w:rsidRDefault="005A478B" w:rsidP="00D936C4">
      <w:pPr>
        <w:spacing w:line="360" w:lineRule="auto"/>
        <w:jc w:val="both"/>
        <w:rPr>
          <w:color w:val="000000"/>
        </w:rPr>
      </w:pPr>
      <w:r>
        <w:rPr>
          <w:color w:val="000000"/>
        </w:rPr>
        <w:t>Es en este contexto, etapa de obtención de autorizaciones de las autoridades de competencia, que el 21 de abril de 2009, Enel solicitó a la Comisión una autorización previa para una operación en el sector eléctrico, acompañando a su solicitud la documentación requerida por la Ley 26876</w:t>
      </w:r>
      <w:r w:rsidR="00C47E3E">
        <w:rPr>
          <w:color w:val="000000"/>
        </w:rPr>
        <w:t xml:space="preserve">. En la sección 9.2 del Formulario de Notificación, Enel </w:t>
      </w:r>
      <w:r>
        <w:rPr>
          <w:color w:val="000000"/>
        </w:rPr>
        <w:t xml:space="preserve">procedió a informar a la Comisiónque la fecha tope prevista para que se produzca el efectivo cumplimiento de todas las condiciones suspensivas acordadas en el Contrato de Compra Venta de Acciones </w:t>
      </w:r>
      <w:r>
        <w:t>era</w:t>
      </w:r>
      <w:r>
        <w:rPr>
          <w:color w:val="000000"/>
        </w:rPr>
        <w:t xml:space="preserve"> el 20 de agosto de 2009. Asimismo, </w:t>
      </w:r>
      <w:r w:rsidR="00C47E3E">
        <w:rPr>
          <w:color w:val="000000"/>
        </w:rPr>
        <w:t>remarcó</w:t>
      </w:r>
      <w:r>
        <w:rPr>
          <w:color w:val="000000"/>
        </w:rPr>
        <w:t xml:space="preserve"> que dicha operación de concentración implicaba el cambio en el control de Enel sobre Endesa, que pasaría de ser tener el control conjunto sobre Endesa a un control exclusivo, producto de la transferencia de acciones. </w:t>
      </w:r>
    </w:p>
    <w:p w:rsidR="002355F1" w:rsidRDefault="002355F1" w:rsidP="00D936C4">
      <w:pPr>
        <w:spacing w:line="360" w:lineRule="auto"/>
        <w:jc w:val="both"/>
        <w:rPr>
          <w:color w:val="000000"/>
        </w:rPr>
      </w:pPr>
    </w:p>
    <w:p w:rsidR="002355F1" w:rsidRPr="00E57E5D" w:rsidRDefault="005A478B" w:rsidP="00D936C4">
      <w:pPr>
        <w:spacing w:line="360" w:lineRule="auto"/>
        <w:jc w:val="both"/>
        <w:rPr>
          <w:color w:val="000000"/>
        </w:rPr>
      </w:pPr>
      <w:r>
        <w:rPr>
          <w:color w:val="000000"/>
        </w:rPr>
        <w:t>Al respecto, resulta fundamental precisar que</w:t>
      </w:r>
      <w:r w:rsidR="00E57E5D">
        <w:rPr>
          <w:color w:val="000000"/>
        </w:rPr>
        <w:t xml:space="preserve"> </w:t>
      </w:r>
      <w:r>
        <w:rPr>
          <w:color w:val="000000"/>
        </w:rPr>
        <w:t>si bien, en el periodo durante el cual se iniciaron los procedimientos materia de este informe, en el Perú no existía un control de concentraciones para todos los sectores, la excepci</w:t>
      </w:r>
      <w:r>
        <w:t>ón se encontraba en el sector eléctrico</w:t>
      </w:r>
      <w:r w:rsidR="00C47E3E">
        <w:t>,</w:t>
      </w:r>
      <w:r>
        <w:t xml:space="preserve"> </w:t>
      </w:r>
      <w:r w:rsidR="00C47E3E">
        <w:t xml:space="preserve">el cual si estaba sujeto al </w:t>
      </w:r>
      <w:r w:rsidR="00E57E5D">
        <w:rPr>
          <w:color w:val="000000"/>
        </w:rPr>
        <w:t>control previo de</w:t>
      </w:r>
      <w:r>
        <w:rPr>
          <w:color w:val="000000"/>
        </w:rPr>
        <w:t xml:space="preserve"> las operaciones. </w:t>
      </w:r>
      <w:r>
        <w:t>Así, l</w:t>
      </w:r>
      <w:r>
        <w:rPr>
          <w:color w:val="000000"/>
        </w:rPr>
        <w:t xml:space="preserve">os agentes económicos debían requerir la autorización previa de la autoridad </w:t>
      </w:r>
      <w:r w:rsidR="00C47E3E">
        <w:rPr>
          <w:color w:val="000000"/>
        </w:rPr>
        <w:t xml:space="preserve">de competencia peruana </w:t>
      </w:r>
      <w:r>
        <w:rPr>
          <w:color w:val="000000"/>
        </w:rPr>
        <w:t xml:space="preserve">si mediante estas operaciones podrían afectarse directa o indirectamente la competencia en el sector eléctrico en Perú. </w:t>
      </w:r>
      <w:r w:rsidR="00E57E5D">
        <w:rPr>
          <w:color w:val="000000"/>
        </w:rPr>
        <w:t xml:space="preserve"> </w:t>
      </w:r>
      <w:r>
        <w:rPr>
          <w:color w:val="000000"/>
        </w:rPr>
        <w:t xml:space="preserve">Por ese motivo, Enel procedió a presentar la Notificación, dado que, con la operación de concentración, Enel adquiriría el control exclusivo sobre Endesa y a través de </w:t>
      </w:r>
      <w:r>
        <w:rPr>
          <w:color w:val="000000"/>
        </w:rPr>
        <w:lastRenderedPageBreak/>
        <w:t xml:space="preserve">ésta, el control sobre Edegel S.A.A. (en adelante, Edegel), Empresa Eléctrica de Piura S.A. (en adelante, Eepsa), y Edelnor S.A.A (en adelante, Edelnor), empresas que desarrollaban actividades en el sector eléctrico peruano. </w:t>
      </w:r>
    </w:p>
    <w:p w:rsidR="002355F1" w:rsidRDefault="002355F1" w:rsidP="00D936C4">
      <w:pPr>
        <w:spacing w:line="360" w:lineRule="auto"/>
        <w:jc w:val="both"/>
      </w:pPr>
    </w:p>
    <w:p w:rsidR="002355F1" w:rsidRDefault="00E57E5D" w:rsidP="00D936C4">
      <w:pPr>
        <w:spacing w:line="360" w:lineRule="auto"/>
        <w:jc w:val="both"/>
        <w:rPr>
          <w:color w:val="000000"/>
        </w:rPr>
      </w:pPr>
      <w:r>
        <w:t>La</w:t>
      </w:r>
      <w:r w:rsidR="005A478B">
        <w:t xml:space="preserve"> operación de a</w:t>
      </w:r>
      <w:r w:rsidR="005A478B">
        <w:rPr>
          <w:color w:val="000000"/>
        </w:rPr>
        <w:t xml:space="preserve">dquisición de Enel sobre las acciones  de Acciona en Endesa que fue sometida a autorización previa </w:t>
      </w:r>
      <w:r>
        <w:rPr>
          <w:color w:val="000000"/>
        </w:rPr>
        <w:t>implicaba un cambio</w:t>
      </w:r>
      <w:r w:rsidR="005A478B">
        <w:rPr>
          <w:color w:val="000000"/>
        </w:rPr>
        <w:t xml:space="preserve"> en la estructura de control de Endesa, el cual pasaría de ser control conjunto a exclusivo a favor de Enel, conforme </w:t>
      </w:r>
      <w:r>
        <w:rPr>
          <w:color w:val="000000"/>
        </w:rPr>
        <w:t>a</w:t>
      </w:r>
      <w:r w:rsidR="005A478B">
        <w:rPr>
          <w:color w:val="000000"/>
        </w:rPr>
        <w:t xml:space="preserve">l </w:t>
      </w:r>
      <w:r>
        <w:rPr>
          <w:color w:val="000000"/>
        </w:rPr>
        <w:t xml:space="preserve">siguiente </w:t>
      </w:r>
      <w:r w:rsidR="005A478B">
        <w:rPr>
          <w:color w:val="000000"/>
        </w:rPr>
        <w:t>detalle</w:t>
      </w:r>
      <w:r>
        <w:rPr>
          <w:color w:val="000000"/>
        </w:rPr>
        <w:t>:</w:t>
      </w:r>
    </w:p>
    <w:p w:rsidR="00C47E3E" w:rsidRDefault="00C47E3E" w:rsidP="00D936C4">
      <w:pPr>
        <w:spacing w:line="360" w:lineRule="auto"/>
        <w:jc w:val="both"/>
        <w:rPr>
          <w:color w:val="000000"/>
        </w:rPr>
      </w:pPr>
    </w:p>
    <w:p w:rsidR="002355F1" w:rsidRDefault="005A478B" w:rsidP="00D936C4">
      <w:pPr>
        <w:spacing w:line="360" w:lineRule="auto"/>
        <w:jc w:val="center"/>
        <w:rPr>
          <w:color w:val="000000"/>
        </w:rPr>
      </w:pPr>
      <w:r>
        <w:rPr>
          <w:noProof/>
          <w:color w:val="000000"/>
        </w:rPr>
        <w:drawing>
          <wp:inline distT="0" distB="0" distL="0" distR="0" wp14:editId="24EEAAD2">
            <wp:extent cx="5484795" cy="3138986"/>
            <wp:effectExtent l="0" t="0" r="1905" b="0"/>
            <wp:docPr id="80"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1"/>
                    <a:srcRect l="885" t="2547" r="1352"/>
                    <a:stretch>
                      <a:fillRect/>
                    </a:stretch>
                  </pic:blipFill>
                  <pic:spPr>
                    <a:xfrm>
                      <a:off x="0" y="0"/>
                      <a:ext cx="5514255" cy="3155846"/>
                    </a:xfrm>
                    <a:prstGeom prst="rect">
                      <a:avLst/>
                    </a:prstGeom>
                    <a:ln/>
                  </pic:spPr>
                </pic:pic>
              </a:graphicData>
            </a:graphic>
          </wp:inline>
        </w:drawing>
      </w:r>
    </w:p>
    <w:p w:rsidR="002355F1" w:rsidRDefault="005A478B" w:rsidP="00D936C4">
      <w:pPr>
        <w:spacing w:line="360" w:lineRule="auto"/>
        <w:jc w:val="both"/>
        <w:rPr>
          <w:sz w:val="20"/>
          <w:szCs w:val="20"/>
        </w:rPr>
      </w:pPr>
      <w:r>
        <w:rPr>
          <w:sz w:val="20"/>
          <w:szCs w:val="20"/>
        </w:rPr>
        <w:t>Fuente: Resolución 001-2010/CLC-INDECOPI</w:t>
      </w:r>
    </w:p>
    <w:p w:rsidR="002355F1" w:rsidRDefault="005A478B" w:rsidP="00D936C4">
      <w:pPr>
        <w:spacing w:line="360" w:lineRule="auto"/>
        <w:jc w:val="both"/>
        <w:rPr>
          <w:sz w:val="20"/>
          <w:szCs w:val="20"/>
        </w:rPr>
      </w:pPr>
      <w:r>
        <w:rPr>
          <w:sz w:val="20"/>
          <w:szCs w:val="20"/>
        </w:rPr>
        <w:t>Elaboración propia</w:t>
      </w:r>
    </w:p>
    <w:p w:rsidR="002355F1" w:rsidRDefault="002355F1" w:rsidP="00D936C4">
      <w:pPr>
        <w:spacing w:line="360" w:lineRule="auto"/>
        <w:ind w:firstLine="360"/>
        <w:jc w:val="both"/>
        <w:rPr>
          <w:sz w:val="20"/>
          <w:szCs w:val="20"/>
        </w:rPr>
      </w:pPr>
    </w:p>
    <w:p w:rsidR="002355F1" w:rsidRDefault="005A478B" w:rsidP="00D936C4">
      <w:pPr>
        <w:spacing w:line="360" w:lineRule="auto"/>
        <w:jc w:val="both"/>
      </w:pPr>
      <w:r>
        <w:t>En esa línea, a la fecha de la notificación de la operación, Endesa en el Perú participaba indirectamente del mercado eléctrico a través del control de:</w:t>
      </w:r>
    </w:p>
    <w:p w:rsidR="002355F1" w:rsidRDefault="005A478B" w:rsidP="00D936C4">
      <w:pPr>
        <w:spacing w:line="360" w:lineRule="auto"/>
        <w:jc w:val="both"/>
      </w:pPr>
      <w:r>
        <w:t xml:space="preserve"> </w:t>
      </w:r>
    </w:p>
    <w:p w:rsidR="002355F1" w:rsidRDefault="005A478B" w:rsidP="00D936C4">
      <w:pPr>
        <w:numPr>
          <w:ilvl w:val="0"/>
          <w:numId w:val="10"/>
        </w:numPr>
        <w:spacing w:line="360" w:lineRule="auto"/>
        <w:jc w:val="both"/>
      </w:pPr>
      <w:r>
        <w:t>Edelnor, empresa de distribución eléctrica, controlada de forma exclusiva a través de Inversiones Distrilima S.A. y Generalima S.A.C.;</w:t>
      </w:r>
    </w:p>
    <w:p w:rsidR="002355F1" w:rsidRDefault="005A478B" w:rsidP="00D936C4">
      <w:pPr>
        <w:numPr>
          <w:ilvl w:val="0"/>
          <w:numId w:val="10"/>
        </w:numPr>
        <w:spacing w:line="360" w:lineRule="auto"/>
        <w:jc w:val="both"/>
      </w:pPr>
      <w:r>
        <w:t>Eepsa, empresa de generación eléctrica, controlada de forma exclusiva a través de Eléctrica Cabo Blanco S.A.; y,</w:t>
      </w:r>
    </w:p>
    <w:p w:rsidR="002355F1" w:rsidRDefault="005A478B" w:rsidP="00D936C4">
      <w:pPr>
        <w:numPr>
          <w:ilvl w:val="0"/>
          <w:numId w:val="10"/>
        </w:numPr>
        <w:spacing w:line="360" w:lineRule="auto"/>
        <w:jc w:val="both"/>
      </w:pPr>
      <w:r>
        <w:lastRenderedPageBreak/>
        <w:t>Edegel, empresa de generación eléctrica, controlada de forma conjunta con Israel Corp a través de Generandes S.A.</w:t>
      </w:r>
    </w:p>
    <w:p w:rsidR="002355F1" w:rsidRDefault="002355F1" w:rsidP="00D936C4">
      <w:pPr>
        <w:spacing w:line="360" w:lineRule="auto"/>
        <w:ind w:left="720"/>
        <w:jc w:val="both"/>
      </w:pPr>
    </w:p>
    <w:p w:rsidR="002355F1" w:rsidRDefault="005A478B" w:rsidP="00D936C4">
      <w:pPr>
        <w:spacing w:line="360" w:lineRule="auto"/>
        <w:ind w:left="360"/>
        <w:jc w:val="center"/>
      </w:pPr>
      <w:r>
        <w:rPr>
          <w:noProof/>
        </w:rPr>
        <w:drawing>
          <wp:inline distT="0" distB="0" distL="0" distR="0" wp14:editId="67947A0D">
            <wp:extent cx="5544526" cy="1743456"/>
            <wp:effectExtent l="0" t="0" r="0" b="0"/>
            <wp:docPr id="8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2"/>
                    <a:srcRect l="234" t="14363" r="964" b="3832"/>
                    <a:stretch>
                      <a:fillRect/>
                    </a:stretch>
                  </pic:blipFill>
                  <pic:spPr>
                    <a:xfrm>
                      <a:off x="0" y="0"/>
                      <a:ext cx="5557863" cy="1747650"/>
                    </a:xfrm>
                    <a:prstGeom prst="rect">
                      <a:avLst/>
                    </a:prstGeom>
                    <a:ln/>
                  </pic:spPr>
                </pic:pic>
              </a:graphicData>
            </a:graphic>
          </wp:inline>
        </w:drawing>
      </w:r>
    </w:p>
    <w:p w:rsidR="002355F1" w:rsidRDefault="005A478B" w:rsidP="00D936C4">
      <w:pPr>
        <w:spacing w:line="360" w:lineRule="auto"/>
        <w:jc w:val="both"/>
        <w:rPr>
          <w:sz w:val="20"/>
          <w:szCs w:val="20"/>
        </w:rPr>
      </w:pPr>
      <w:r>
        <w:rPr>
          <w:sz w:val="20"/>
          <w:szCs w:val="20"/>
        </w:rPr>
        <w:t>Fuente: Resolución 001-2010/CLC-INDECOPI</w:t>
      </w:r>
    </w:p>
    <w:p w:rsidR="002355F1" w:rsidRDefault="005A478B" w:rsidP="00D936C4">
      <w:pPr>
        <w:spacing w:line="360" w:lineRule="auto"/>
        <w:jc w:val="both"/>
        <w:rPr>
          <w:sz w:val="20"/>
          <w:szCs w:val="20"/>
        </w:rPr>
      </w:pPr>
      <w:r>
        <w:rPr>
          <w:sz w:val="20"/>
          <w:szCs w:val="20"/>
        </w:rPr>
        <w:t>Elaboración propia</w:t>
      </w:r>
    </w:p>
    <w:p w:rsidR="002355F1" w:rsidRDefault="002355F1" w:rsidP="00D936C4">
      <w:pPr>
        <w:spacing w:line="360" w:lineRule="auto"/>
        <w:jc w:val="both"/>
      </w:pPr>
    </w:p>
    <w:p w:rsidR="001C0537" w:rsidRDefault="005A478B" w:rsidP="00D936C4">
      <w:pPr>
        <w:spacing w:line="360" w:lineRule="auto"/>
        <w:jc w:val="both"/>
        <w:rPr>
          <w:color w:val="000000"/>
        </w:rPr>
      </w:pPr>
      <w:r>
        <w:rPr>
          <w:color w:val="000000"/>
        </w:rPr>
        <w:t xml:space="preserve">Enel, si bien notificó la Operación el 21 de abril de 2009, recién el 7 de mayo de 2009 cumplió con adjuntar la información del Formulario, requerida para el análisis de la operación. </w:t>
      </w:r>
      <w:r w:rsidR="001C0537">
        <w:rPr>
          <w:color w:val="000000"/>
        </w:rPr>
        <w:t>S</w:t>
      </w:r>
      <w:r>
        <w:rPr>
          <w:color w:val="000000"/>
        </w:rPr>
        <w:t>olo a partir del 7 de mayo de 2009, conforme al artículo 16</w:t>
      </w:r>
      <w:r w:rsidR="001C0537">
        <w:rPr>
          <w:color w:val="000000"/>
          <w:vertAlign w:val="superscript"/>
        </w:rPr>
        <w:footnoteReference w:id="1"/>
      </w:r>
      <w:r>
        <w:rPr>
          <w:color w:val="000000"/>
        </w:rPr>
        <w:t xml:space="preserve"> del Reglamento de la Ley Antimonopolio y Antioligopolio del Sector Eléctrico (en adelante, el Reglamento de la Ley 26876)</w:t>
      </w:r>
      <w:r w:rsidR="001C0537">
        <w:rPr>
          <w:color w:val="000000"/>
        </w:rPr>
        <w:t xml:space="preserve">, se consideró que la solicitud presentada por Enel se encontraba completa. </w:t>
      </w:r>
    </w:p>
    <w:p w:rsidR="001C0537" w:rsidRDefault="001C0537" w:rsidP="00D936C4">
      <w:pPr>
        <w:spacing w:line="360" w:lineRule="auto"/>
        <w:jc w:val="both"/>
        <w:rPr>
          <w:color w:val="000000"/>
        </w:rPr>
      </w:pPr>
    </w:p>
    <w:p w:rsidR="002355F1" w:rsidRDefault="005A478B" w:rsidP="00D936C4">
      <w:pPr>
        <w:spacing w:line="360" w:lineRule="auto"/>
        <w:jc w:val="both"/>
        <w:rPr>
          <w:color w:val="000000"/>
          <w:u w:val="single"/>
        </w:rPr>
      </w:pPr>
      <w:r>
        <w:rPr>
          <w:color w:val="000000"/>
        </w:rPr>
        <w:t>Habiendo sido satisfecha la presentación de la información faltante, la Secretaría Técnica</w:t>
      </w:r>
      <w:r w:rsidR="001C0537">
        <w:rPr>
          <w:color w:val="000000"/>
        </w:rPr>
        <w:t>, conforme al artículo 17</w:t>
      </w:r>
      <w:r w:rsidR="001C0537">
        <w:rPr>
          <w:color w:val="000000"/>
          <w:vertAlign w:val="superscript"/>
        </w:rPr>
        <w:footnoteReference w:id="2"/>
      </w:r>
      <w:r w:rsidR="001C0537">
        <w:rPr>
          <w:color w:val="000000"/>
        </w:rPr>
        <w:t xml:space="preserve"> del Reglamento de la Ley 26876, </w:t>
      </w:r>
      <w:r>
        <w:rPr>
          <w:color w:val="000000"/>
        </w:rPr>
        <w:t>requirió a Enel información adicional el 21 de mayo de 2009, solicitud atendida por Enel el 1 y 3 de junio de 2009.</w:t>
      </w:r>
      <w:r w:rsidR="001C0537">
        <w:rPr>
          <w:color w:val="000000"/>
        </w:rPr>
        <w:t xml:space="preserve"> </w:t>
      </w:r>
      <w:r>
        <w:rPr>
          <w:color w:val="000000"/>
        </w:rPr>
        <w:t xml:space="preserve">Una vez cumplido el requerimiento, el plazo para que la Comisión pueda decidir, según el </w:t>
      </w:r>
      <w:r w:rsidR="001C0537">
        <w:rPr>
          <w:color w:val="000000"/>
        </w:rPr>
        <w:t>artículo 18</w:t>
      </w:r>
      <w:r w:rsidR="001C0537">
        <w:rPr>
          <w:color w:val="000000"/>
          <w:vertAlign w:val="superscript"/>
        </w:rPr>
        <w:footnoteReference w:id="3"/>
      </w:r>
      <w:r w:rsidR="001C0537">
        <w:rPr>
          <w:color w:val="000000"/>
        </w:rPr>
        <w:t xml:space="preserve"> del </w:t>
      </w:r>
      <w:r>
        <w:rPr>
          <w:color w:val="000000"/>
        </w:rPr>
        <w:t xml:space="preserve">reglamento de la Ley 26876, era de 30 días contados desde el vencimiento del plazo </w:t>
      </w:r>
      <w:r>
        <w:rPr>
          <w:color w:val="000000"/>
        </w:rPr>
        <w:lastRenderedPageBreak/>
        <w:t xml:space="preserve">para la presentación de información o, la recepción de dicha información. La Comisión, entonces, tenía plazo para decidir hasta el </w:t>
      </w:r>
      <w:r w:rsidRPr="001C0537">
        <w:rPr>
          <w:color w:val="000000"/>
          <w:u w:val="single"/>
        </w:rPr>
        <w:t>16 de julio de 2009.</w:t>
      </w:r>
    </w:p>
    <w:p w:rsidR="000716D9" w:rsidRPr="008965C6" w:rsidRDefault="000716D9" w:rsidP="00D936C4">
      <w:pPr>
        <w:spacing w:line="360" w:lineRule="auto"/>
        <w:jc w:val="both"/>
        <w:rPr>
          <w:b/>
          <w:color w:val="000000"/>
          <w:sz w:val="20"/>
          <w:szCs w:val="20"/>
        </w:rPr>
      </w:pPr>
    </w:p>
    <w:p w:rsidR="002355F1" w:rsidRDefault="005A478B" w:rsidP="00D936C4">
      <w:pPr>
        <w:spacing w:line="360" w:lineRule="auto"/>
        <w:jc w:val="both"/>
        <w:rPr>
          <w:color w:val="000000"/>
        </w:rPr>
      </w:pPr>
      <w:r>
        <w:rPr>
          <w:color w:val="000000"/>
        </w:rPr>
        <w:t xml:space="preserve">En el marco del procedimiento de autorización, la Secretaría Técnica emitió el Informe 029-2009/ST-CLC-INDECOPI del 2 de julio de 2009, en el cual concluyó que, si bien la operación notificada constituía un acto de concentración sujeto a autorización previa, no implicaba el ingreso de un nuevo agente al mercado peruano ni la reducción del número de agentes participantes y sí representaba un reordenamiento interno de la estructura de control de Endesa, por lo que no existirían, en el análisis de la Secretaría Técnica, variaciones de las condiciones de competencia y la libre concurrencia al mercado. Con ese análisis, la Secretaría Técnica recomendó a la Comisión autorizar sin condiciones la operación en cuestión.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El 16 de julio de 2009, la Comisión emitió la Resolución 058-2009/CLC-INDECOPI, mediante la cual autorizó sin condiciones la operación de concentración propuesta po</w:t>
      </w:r>
      <w:r>
        <w:t>r Enel</w:t>
      </w:r>
      <w:r>
        <w:rPr>
          <w:color w:val="000000"/>
        </w:rPr>
        <w:t>.</w:t>
      </w:r>
    </w:p>
    <w:p w:rsidR="002355F1" w:rsidRDefault="002355F1" w:rsidP="00D936C4">
      <w:pPr>
        <w:spacing w:line="360" w:lineRule="auto"/>
        <w:jc w:val="both"/>
        <w:rPr>
          <w:color w:val="000000"/>
        </w:rPr>
      </w:pPr>
    </w:p>
    <w:p w:rsidR="002355F1" w:rsidRPr="00EF0CA8" w:rsidRDefault="005A478B" w:rsidP="00D936C4">
      <w:pPr>
        <w:spacing w:line="360" w:lineRule="auto"/>
        <w:ind w:left="720"/>
        <w:jc w:val="both"/>
        <w:rPr>
          <w:color w:val="000000"/>
          <w:sz w:val="20"/>
          <w:szCs w:val="20"/>
        </w:rPr>
      </w:pPr>
      <w:r w:rsidRPr="00EF0CA8">
        <w:rPr>
          <w:color w:val="000000"/>
          <w:sz w:val="20"/>
          <w:szCs w:val="20"/>
        </w:rPr>
        <w:t xml:space="preserve">RESUELVE: </w:t>
      </w:r>
    </w:p>
    <w:p w:rsidR="002355F1" w:rsidRPr="00EF0CA8" w:rsidRDefault="005A478B" w:rsidP="00D936C4">
      <w:pPr>
        <w:spacing w:line="360" w:lineRule="auto"/>
        <w:ind w:left="720"/>
        <w:jc w:val="both"/>
        <w:rPr>
          <w:color w:val="000000"/>
          <w:sz w:val="20"/>
          <w:szCs w:val="20"/>
        </w:rPr>
      </w:pPr>
      <w:r w:rsidRPr="00EF0CA8">
        <w:rPr>
          <w:color w:val="000000"/>
          <w:sz w:val="20"/>
          <w:szCs w:val="20"/>
        </w:rPr>
        <w:t>Autorizar el acto de concentración notificado por la Enel S.P.A., por medio del cual adquirirá el control exclusivo sobre Endesa S.A., y a través de ésta sobre Edegel S.A.A., Empresa Eléctrica de Piura S.A. y Edelnor S.A.A., empresas que desarrollan actividades en el sector eléctrico peruano</w:t>
      </w:r>
      <w:r w:rsidR="00EF0CA8">
        <w:rPr>
          <w:color w:val="000000"/>
          <w:sz w:val="20"/>
          <w:szCs w:val="20"/>
        </w:rPr>
        <w:t xml:space="preserve"> (Comisión</w:t>
      </w:r>
      <w:r w:rsidR="00C511A8">
        <w:rPr>
          <w:color w:val="000000"/>
          <w:sz w:val="20"/>
          <w:szCs w:val="20"/>
        </w:rPr>
        <w:t xml:space="preserve"> de Libre Competencia 2009)</w:t>
      </w:r>
      <w:r w:rsidRPr="00EF0CA8">
        <w:rPr>
          <w:color w:val="000000"/>
          <w:sz w:val="20"/>
          <w:szCs w:val="20"/>
        </w:rPr>
        <w:t>.</w:t>
      </w:r>
    </w:p>
    <w:p w:rsidR="002355F1" w:rsidRDefault="005A478B" w:rsidP="00D936C4">
      <w:pPr>
        <w:pStyle w:val="Ttulo2"/>
        <w:numPr>
          <w:ilvl w:val="1"/>
          <w:numId w:val="3"/>
        </w:numPr>
        <w:spacing w:line="360" w:lineRule="auto"/>
        <w:rPr>
          <w:color w:val="000000"/>
          <w:sz w:val="24"/>
          <w:szCs w:val="24"/>
        </w:rPr>
      </w:pPr>
      <w:bookmarkStart w:id="5" w:name="_Toc47387713"/>
      <w:r>
        <w:rPr>
          <w:color w:val="000000"/>
          <w:sz w:val="24"/>
          <w:szCs w:val="24"/>
        </w:rPr>
        <w:t>Procedimiento administrativo sancionador por infracción de Enel a la Ley 26876</w:t>
      </w:r>
      <w:bookmarkEnd w:id="5"/>
    </w:p>
    <w:p w:rsidR="002355F1" w:rsidRDefault="005A478B" w:rsidP="00D936C4">
      <w:pPr>
        <w:spacing w:line="360" w:lineRule="auto"/>
        <w:jc w:val="both"/>
        <w:rPr>
          <w:color w:val="000000"/>
        </w:rPr>
      </w:pPr>
      <w:r>
        <w:rPr>
          <w:color w:val="000000"/>
        </w:rPr>
        <w:t xml:space="preserve">Con anterioridad a </w:t>
      </w:r>
      <w:r w:rsidR="002578BD">
        <w:rPr>
          <w:color w:val="000000"/>
        </w:rPr>
        <w:t>la</w:t>
      </w:r>
      <w:r>
        <w:rPr>
          <w:color w:val="000000"/>
        </w:rPr>
        <w:t xml:space="preserve"> emisión de la Resolución 058-2009/CLC-INDECOPI </w:t>
      </w:r>
      <w:r w:rsidR="002578BD">
        <w:rPr>
          <w:color w:val="000000"/>
        </w:rPr>
        <w:t>(1</w:t>
      </w:r>
      <w:r>
        <w:rPr>
          <w:color w:val="000000"/>
        </w:rPr>
        <w:t>6 de julio de 2009</w:t>
      </w:r>
      <w:r w:rsidR="002578BD">
        <w:rPr>
          <w:color w:val="000000"/>
        </w:rPr>
        <w:t>)</w:t>
      </w:r>
      <w:r>
        <w:rPr>
          <w:color w:val="000000"/>
        </w:rPr>
        <w:t xml:space="preserve">, en el mes de junio del 2009 Enel dio cuenta del cumplimiento de las condiciones suspensivas previstas en el contrato de compraventa de acciones entre Enel, Acciona y subsidiarias sobre Endesa en España. Según lo acordado en la cláusula 9.5 del Contrato de Compraventa de Acciones, las partes estaban obligadas a fijar una fecha para el cierre de la transferencia de acciones de Endesa que debía acontecer en los quince días inmediatamente posteriores a la fecha de que tengan constancia de cumplimiento de todas las condiciones suspensivas.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lastRenderedPageBreak/>
        <w:t xml:space="preserve">Es así que, el 18 de junio de 2009, Enel, Acciona y Endesa anunciaron al mercado a través de comunicaciones a la entidad del mercado de valores de España, Comisión Nacional de Mercado de Valores de España </w:t>
      </w:r>
      <w:r w:rsidR="00A42DDA">
        <w:rPr>
          <w:color w:val="000000"/>
        </w:rPr>
        <w:t xml:space="preserve">(en adelante, CNMV) </w:t>
      </w:r>
      <w:r>
        <w:rPr>
          <w:color w:val="000000"/>
        </w:rPr>
        <w:t xml:space="preserve">que, tras el cumplimiento de las condiciones suspensivas y </w:t>
      </w:r>
      <w:r w:rsidR="001C0537">
        <w:rPr>
          <w:color w:val="000000"/>
        </w:rPr>
        <w:t>conforme</w:t>
      </w:r>
      <w:r>
        <w:rPr>
          <w:color w:val="000000"/>
        </w:rPr>
        <w:t xml:space="preserve"> a lo establecido por el contrato sobre la obligación de fijar fecha de transferencia, acordaron establecer como fecha de ejecución del acto de transferencia de acciones el 25 de junio de 2009</w:t>
      </w:r>
      <w:r>
        <w:rPr>
          <w:color w:val="000000"/>
          <w:vertAlign w:val="superscript"/>
        </w:rPr>
        <w:footnoteReference w:id="4"/>
      </w:r>
      <w:r>
        <w:rPr>
          <w:color w:val="000000"/>
        </w:rPr>
        <w:t xml:space="preserve">. </w:t>
      </w:r>
    </w:p>
    <w:p w:rsidR="002578BD" w:rsidRDefault="002578BD" w:rsidP="00D936C4">
      <w:pPr>
        <w:spacing w:line="360" w:lineRule="auto"/>
        <w:jc w:val="both"/>
        <w:rPr>
          <w:color w:val="000000"/>
        </w:rPr>
      </w:pPr>
    </w:p>
    <w:p w:rsidR="002355F1" w:rsidRDefault="005A478B" w:rsidP="00D936C4">
      <w:pPr>
        <w:spacing w:line="360" w:lineRule="auto"/>
        <w:jc w:val="center"/>
        <w:rPr>
          <w:color w:val="000000"/>
        </w:rPr>
      </w:pPr>
      <w:r>
        <w:rPr>
          <w:noProof/>
          <w:color w:val="000000"/>
        </w:rPr>
        <w:drawing>
          <wp:inline distT="114300" distB="114300" distL="114300" distR="114300" wp14:editId="2DAC405B">
            <wp:extent cx="3680968" cy="2522482"/>
            <wp:effectExtent l="0" t="0" r="2540" b="5080"/>
            <wp:docPr id="7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rotWithShape="1">
                    <a:blip r:embed="rId13"/>
                    <a:srcRect l="3388" t="3498" r="2010" b="1458"/>
                    <a:stretch/>
                  </pic:blipFill>
                  <pic:spPr bwMode="auto">
                    <a:xfrm>
                      <a:off x="0" y="0"/>
                      <a:ext cx="3714304" cy="2545326"/>
                    </a:xfrm>
                    <a:prstGeom prst="rect">
                      <a:avLst/>
                    </a:prstGeom>
                    <a:ln>
                      <a:noFill/>
                    </a:ln>
                    <a:extLst>
                      <a:ext uri="{53640926-AAD7-44D8-BBD7-CCE9431645EC}">
                        <a14:shadowObscured xmlns:a14="http://schemas.microsoft.com/office/drawing/2010/main"/>
                      </a:ext>
                    </a:extLst>
                  </pic:spPr>
                </pic:pic>
              </a:graphicData>
            </a:graphic>
          </wp:inline>
        </w:drawing>
      </w:r>
    </w:p>
    <w:p w:rsidR="002355F1" w:rsidRDefault="005A478B" w:rsidP="00D936C4">
      <w:pPr>
        <w:spacing w:line="360" w:lineRule="auto"/>
        <w:ind w:left="1712"/>
        <w:rPr>
          <w:sz w:val="16"/>
          <w:szCs w:val="16"/>
        </w:rPr>
      </w:pPr>
      <w:r>
        <w:rPr>
          <w:sz w:val="16"/>
          <w:szCs w:val="16"/>
        </w:rPr>
        <w:t>Fuente: Comisión Nacional de Mercado de Valores de España</w:t>
      </w:r>
    </w:p>
    <w:p w:rsidR="002355F1" w:rsidRDefault="002355F1" w:rsidP="00D936C4">
      <w:pPr>
        <w:spacing w:line="360" w:lineRule="auto"/>
        <w:ind w:left="992"/>
        <w:rPr>
          <w:sz w:val="16"/>
          <w:szCs w:val="16"/>
        </w:rPr>
      </w:pPr>
    </w:p>
    <w:p w:rsidR="002355F1" w:rsidRDefault="005A478B" w:rsidP="00D936C4">
      <w:pPr>
        <w:spacing w:line="360" w:lineRule="auto"/>
        <w:jc w:val="both"/>
        <w:rPr>
          <w:color w:val="000000"/>
        </w:rPr>
      </w:pPr>
      <w:r>
        <w:rPr>
          <w:color w:val="000000"/>
        </w:rPr>
        <w:t>El 25 de junio de 2009, Enel, Acciona y Endesa</w:t>
      </w:r>
      <w:r>
        <w:rPr>
          <w:color w:val="000000"/>
          <w:vertAlign w:val="superscript"/>
        </w:rPr>
        <w:footnoteReference w:id="5"/>
      </w:r>
      <w:r>
        <w:rPr>
          <w:color w:val="000000"/>
        </w:rPr>
        <w:t xml:space="preserve"> comunicaron la realización de la transferencia a través de diversos comunicados. Asimismo, Endesa informó cambios en sus órganos de gobierno, a través de los cuales representantes de Enel asumieron distintos cargos en su empresa en sustitución de los representantes de Acciona</w:t>
      </w:r>
      <w:r>
        <w:rPr>
          <w:color w:val="000000"/>
          <w:vertAlign w:val="superscript"/>
        </w:rPr>
        <w:footnoteReference w:id="6"/>
      </w:r>
      <w:r>
        <w:rPr>
          <w:color w:val="000000"/>
        </w:rPr>
        <w:t>.</w:t>
      </w:r>
    </w:p>
    <w:p w:rsidR="002355F1" w:rsidRDefault="005A478B" w:rsidP="00D936C4">
      <w:pPr>
        <w:spacing w:line="360" w:lineRule="auto"/>
        <w:jc w:val="center"/>
        <w:rPr>
          <w:color w:val="000000"/>
        </w:rPr>
      </w:pPr>
      <w:r>
        <w:rPr>
          <w:noProof/>
          <w:color w:val="000000"/>
        </w:rPr>
        <w:lastRenderedPageBreak/>
        <w:drawing>
          <wp:inline distT="114300" distB="114300" distL="114300" distR="114300" wp14:editId="2E21EC5B">
            <wp:extent cx="3681160" cy="1545020"/>
            <wp:effectExtent l="0" t="0" r="1905" b="4445"/>
            <wp:docPr id="8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rotWithShape="1">
                    <a:blip r:embed="rId14"/>
                    <a:srcRect l="3156" r="3748" b="3441"/>
                    <a:stretch/>
                  </pic:blipFill>
                  <pic:spPr bwMode="auto">
                    <a:xfrm>
                      <a:off x="0" y="0"/>
                      <a:ext cx="3703138" cy="1554244"/>
                    </a:xfrm>
                    <a:prstGeom prst="rect">
                      <a:avLst/>
                    </a:prstGeom>
                    <a:ln>
                      <a:noFill/>
                    </a:ln>
                    <a:extLst>
                      <a:ext uri="{53640926-AAD7-44D8-BBD7-CCE9431645EC}">
                        <a14:shadowObscured xmlns:a14="http://schemas.microsoft.com/office/drawing/2010/main"/>
                      </a:ext>
                    </a:extLst>
                  </pic:spPr>
                </pic:pic>
              </a:graphicData>
            </a:graphic>
          </wp:inline>
        </w:drawing>
      </w:r>
    </w:p>
    <w:p w:rsidR="002355F1" w:rsidRDefault="005A478B" w:rsidP="00D936C4">
      <w:pPr>
        <w:spacing w:line="360" w:lineRule="auto"/>
        <w:ind w:left="1712"/>
      </w:pPr>
      <w:r>
        <w:rPr>
          <w:sz w:val="16"/>
          <w:szCs w:val="16"/>
        </w:rPr>
        <w:t>Fuente: Comisión Nacional de Mercado de Valores de España</w:t>
      </w:r>
    </w:p>
    <w:p w:rsidR="002355F1" w:rsidRDefault="002355F1" w:rsidP="00D936C4">
      <w:pPr>
        <w:spacing w:line="360" w:lineRule="auto"/>
        <w:ind w:left="992"/>
        <w:rPr>
          <w:sz w:val="16"/>
          <w:szCs w:val="16"/>
        </w:rPr>
      </w:pPr>
    </w:p>
    <w:p w:rsidR="002355F1" w:rsidRDefault="005A478B" w:rsidP="00D936C4">
      <w:pPr>
        <w:spacing w:line="360" w:lineRule="auto"/>
        <w:jc w:val="both"/>
        <w:rPr>
          <w:color w:val="000000"/>
        </w:rPr>
      </w:pPr>
      <w:r>
        <w:t xml:space="preserve">A partir de la información expuesta, </w:t>
      </w:r>
      <w:r w:rsidR="00832A08">
        <w:t>se observa</w:t>
      </w:r>
      <w:r>
        <w:rPr>
          <w:color w:val="000000"/>
        </w:rPr>
        <w:t xml:space="preserve"> que Enel y Acciona habrían realizado </w:t>
      </w:r>
      <w:r>
        <w:t xml:space="preserve"> el 25 de junio de 2009 </w:t>
      </w:r>
      <w:r>
        <w:rPr>
          <w:color w:val="000000"/>
        </w:rPr>
        <w:t>la transmisión de acciones contempladas en el Contrato de Compraventa</w:t>
      </w:r>
      <w:r w:rsidR="00832A08">
        <w:rPr>
          <w:color w:val="000000"/>
        </w:rPr>
        <w:t xml:space="preserve"> y con la adquisición de </w:t>
      </w:r>
      <w:r>
        <w:rPr>
          <w:color w:val="000000"/>
        </w:rPr>
        <w:t xml:space="preserve">acciones que Acciona poseía de Endesa, </w:t>
      </w:r>
      <w:r w:rsidR="00832A08">
        <w:rPr>
          <w:color w:val="000000"/>
        </w:rPr>
        <w:t>Enel pasaría a tener</w:t>
      </w:r>
      <w:r>
        <w:rPr>
          <w:color w:val="000000"/>
        </w:rPr>
        <w:t xml:space="preserve"> el control exclusivo sobre Endesa</w:t>
      </w:r>
      <w:r w:rsidR="00832A08">
        <w:rPr>
          <w:color w:val="000000"/>
        </w:rPr>
        <w:t>.</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Ahora bien, como </w:t>
      </w:r>
      <w:r w:rsidR="002578BD">
        <w:rPr>
          <w:color w:val="000000"/>
        </w:rPr>
        <w:t xml:space="preserve">no se esperaba </w:t>
      </w:r>
      <w:r>
        <w:t xml:space="preserve">la emisión de un pronunciamiento de la </w:t>
      </w:r>
      <w:r>
        <w:rPr>
          <w:color w:val="000000"/>
        </w:rPr>
        <w:t>Comisión</w:t>
      </w:r>
      <w:r>
        <w:t xml:space="preserve"> </w:t>
      </w:r>
      <w:r w:rsidR="002578BD">
        <w:t xml:space="preserve">antes de la </w:t>
      </w:r>
      <w:r>
        <w:rPr>
          <w:color w:val="000000"/>
        </w:rPr>
        <w:t xml:space="preserve">fecha de cierre </w:t>
      </w:r>
      <w:r w:rsidR="00832A08">
        <w:rPr>
          <w:color w:val="000000"/>
        </w:rPr>
        <w:t>comunicada en la CNMV</w:t>
      </w:r>
      <w:r w:rsidR="002578BD">
        <w:rPr>
          <w:color w:val="000000"/>
        </w:rPr>
        <w:t xml:space="preserve"> (</w:t>
      </w:r>
      <w:r w:rsidR="00C511A8">
        <w:rPr>
          <w:color w:val="000000"/>
        </w:rPr>
        <w:t>2</w:t>
      </w:r>
      <w:r>
        <w:rPr>
          <w:color w:val="000000"/>
        </w:rPr>
        <w:t>5 de junio de 2009</w:t>
      </w:r>
      <w:r w:rsidR="002578BD">
        <w:rPr>
          <w:color w:val="000000"/>
        </w:rPr>
        <w:t>)</w:t>
      </w:r>
      <w:r>
        <w:rPr>
          <w:color w:val="000000"/>
        </w:rPr>
        <w:t>, Endesa manifestó su propósito de asegurar que la ejecución del acto jurídico de transferencia de acciones y sus acuerdos complementarios a realizarse el 25 de junio de 2009 no produzcan efectos legales propios de una concentración</w:t>
      </w:r>
      <w:r w:rsidR="00BE18FF">
        <w:rPr>
          <w:color w:val="000000"/>
        </w:rPr>
        <w:t>,</w:t>
      </w:r>
      <w:r>
        <w:rPr>
          <w:color w:val="000000"/>
        </w:rPr>
        <w:t xml:space="preserve"> oponibles ante autoridades o terceras personas en territorio peruano</w:t>
      </w:r>
      <w:r w:rsidR="00BE18FF">
        <w:rPr>
          <w:color w:val="000000"/>
        </w:rPr>
        <w:t xml:space="preserve">, </w:t>
      </w:r>
      <w:r>
        <w:rPr>
          <w:color w:val="000000"/>
        </w:rPr>
        <w:t xml:space="preserve">hasta la obtención de la autorización </w:t>
      </w:r>
      <w:r w:rsidR="00BE18FF">
        <w:rPr>
          <w:color w:val="000000"/>
        </w:rPr>
        <w:t>peruana</w:t>
      </w:r>
      <w:r>
        <w:rPr>
          <w:color w:val="000000"/>
        </w:rPr>
        <w:t xml:space="preserve">.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Lo anterior se manifestó en la sesión del Consejo Directivo de Endesa Latinoamérica, empresa a través del cual se ejercía control indirecto sobre Eepsa, Edegel y Edelnor y se acordó dejar constancia en el “Acta 127” de la sesión del 22 de junio de 2009 del Consejo Directivo de Endesa Latinoamérica que </w:t>
      </w:r>
      <w:r w:rsidR="00561F1F">
        <w:rPr>
          <w:color w:val="000000"/>
        </w:rPr>
        <w:t xml:space="preserve">aun cuando </w:t>
      </w:r>
      <w:r>
        <w:rPr>
          <w:color w:val="000000"/>
        </w:rPr>
        <w:t xml:space="preserve">la autorización se encontraba en trámite, por tratarse de una operación de transferencia fuera de territorio peruano, sujeto a la ley española, la obtención de la autorización de la autoridad peruana no resultaba una condición necesaria para proceder con la transferencia de acciones de Acciona a Enel. </w:t>
      </w:r>
      <w:r>
        <w:t>No obstante</w:t>
      </w:r>
      <w:r>
        <w:rPr>
          <w:color w:val="000000"/>
        </w:rPr>
        <w:t>, dicha autorización, conforme al detalle del Acta, era necesaria para la producción de efectos legales oponibles en territorio peruano y por ello, se acordó dar instrucciones a representantes de Endesa Latinoamérica en sociedades peruanas afectadas que no se ejerc</w:t>
      </w:r>
      <w:r w:rsidR="00561F1F">
        <w:rPr>
          <w:color w:val="000000"/>
        </w:rPr>
        <w:t>ieran</w:t>
      </w:r>
      <w:r>
        <w:rPr>
          <w:color w:val="000000"/>
        </w:rPr>
        <w:t xml:space="preserve"> actos directos o indirectos del control exclusivo, ya sea a través del derecho a voto u otro, quedando suspendido el ejercicio del control hasta la </w:t>
      </w:r>
      <w:r w:rsidR="00561F1F">
        <w:rPr>
          <w:color w:val="000000"/>
        </w:rPr>
        <w:t xml:space="preserve">obtención de la </w:t>
      </w:r>
      <w:r>
        <w:rPr>
          <w:color w:val="000000"/>
        </w:rPr>
        <w:t>autorización.</w:t>
      </w:r>
    </w:p>
    <w:p w:rsidR="002355F1" w:rsidRDefault="005A478B" w:rsidP="00D936C4">
      <w:pPr>
        <w:spacing w:line="360" w:lineRule="auto"/>
        <w:jc w:val="center"/>
      </w:pPr>
      <w:r>
        <w:rPr>
          <w:noProof/>
          <w:color w:val="000000"/>
        </w:rPr>
        <w:lastRenderedPageBreak/>
        <w:drawing>
          <wp:inline distT="114300" distB="114300" distL="114300" distR="114300" wp14:editId="66E1E36A">
            <wp:extent cx="3681730" cy="2238704"/>
            <wp:effectExtent l="0" t="0" r="1270" b="0"/>
            <wp:docPr id="8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5"/>
                    <a:srcRect l="10905" t="12360" r="6992" b="3969"/>
                    <a:stretch>
                      <a:fillRect/>
                    </a:stretch>
                  </pic:blipFill>
                  <pic:spPr>
                    <a:xfrm>
                      <a:off x="0" y="0"/>
                      <a:ext cx="3699599" cy="2249570"/>
                    </a:xfrm>
                    <a:prstGeom prst="rect">
                      <a:avLst/>
                    </a:prstGeom>
                    <a:ln/>
                  </pic:spPr>
                </pic:pic>
              </a:graphicData>
            </a:graphic>
          </wp:inline>
        </w:drawing>
      </w:r>
      <w:r>
        <w:rPr>
          <w:color w:val="000000"/>
          <w:vertAlign w:val="superscript"/>
        </w:rPr>
        <w:footnoteReference w:id="7"/>
      </w:r>
    </w:p>
    <w:p w:rsidR="00BE18FF" w:rsidRDefault="00BE18FF" w:rsidP="00D936C4">
      <w:pPr>
        <w:spacing w:line="360" w:lineRule="auto"/>
        <w:jc w:val="center"/>
      </w:pPr>
    </w:p>
    <w:p w:rsidR="002355F1" w:rsidRDefault="00561F1F" w:rsidP="00D936C4">
      <w:pPr>
        <w:spacing w:line="360" w:lineRule="auto"/>
        <w:jc w:val="both"/>
        <w:rPr>
          <w:color w:val="000000"/>
        </w:rPr>
      </w:pPr>
      <w:r>
        <w:rPr>
          <w:color w:val="000000"/>
        </w:rPr>
        <w:t>Así, e</w:t>
      </w:r>
      <w:r w:rsidR="005A478B">
        <w:rPr>
          <w:color w:val="000000"/>
        </w:rPr>
        <w:t xml:space="preserve">n paralelo a las comunicaciones a la </w:t>
      </w:r>
      <w:r w:rsidR="00A42DDA">
        <w:rPr>
          <w:color w:val="000000"/>
        </w:rPr>
        <w:t>CNMV</w:t>
      </w:r>
      <w:r w:rsidR="005A478B">
        <w:rPr>
          <w:color w:val="000000"/>
        </w:rPr>
        <w:t xml:space="preserve"> sobre el cierre de la operación en territorio europeo, el 25 de junio de 2009, Eepsa</w:t>
      </w:r>
      <w:r w:rsidR="005A478B">
        <w:rPr>
          <w:color w:val="000000"/>
          <w:vertAlign w:val="superscript"/>
        </w:rPr>
        <w:footnoteReference w:id="8"/>
      </w:r>
      <w:r w:rsidR="005A478B">
        <w:rPr>
          <w:color w:val="000000"/>
        </w:rPr>
        <w:t xml:space="preserve">, Edegel y Edelnor, empresas sobre las cuales Endesa ejercía control en Perú, comunicaron por separado a la  Comisión Nacional Supervisora de Empresas y Valores en Perú (en adelante, CONASEV) el cierre de la operación objeto del contrato de compraventa de acciones en España. Asimismo, se informó que los efectos de la operación estaban sujetos a los requisitos que fuesen aplicables bajo la legislación peruana. </w:t>
      </w:r>
    </w:p>
    <w:p w:rsidR="00135A7E" w:rsidRDefault="00135A7E" w:rsidP="00D936C4">
      <w:pPr>
        <w:spacing w:line="360" w:lineRule="auto"/>
        <w:jc w:val="both"/>
        <w:rPr>
          <w:color w:val="000000"/>
        </w:rPr>
      </w:pPr>
    </w:p>
    <w:p w:rsidR="002355F1" w:rsidRDefault="00561F1F" w:rsidP="00D936C4">
      <w:pPr>
        <w:spacing w:line="360" w:lineRule="auto"/>
        <w:jc w:val="both"/>
        <w:rPr>
          <w:color w:val="000000"/>
        </w:rPr>
      </w:pPr>
      <w:r>
        <w:rPr>
          <w:color w:val="000000"/>
        </w:rPr>
        <w:t>Tras los hechos descritos anteriormente</w:t>
      </w:r>
      <w:r w:rsidR="005A478B">
        <w:rPr>
          <w:color w:val="000000"/>
        </w:rPr>
        <w:t xml:space="preserve">, la Comisión, por </w:t>
      </w:r>
      <w:r>
        <w:rPr>
          <w:color w:val="000000"/>
        </w:rPr>
        <w:t xml:space="preserve">la </w:t>
      </w:r>
      <w:r w:rsidR="005A478B">
        <w:rPr>
          <w:color w:val="000000"/>
        </w:rPr>
        <w:t xml:space="preserve">información publicada en la </w:t>
      </w:r>
      <w:r w:rsidR="00A42DDA">
        <w:rPr>
          <w:color w:val="000000"/>
        </w:rPr>
        <w:t>CNMV</w:t>
      </w:r>
      <w:r w:rsidR="005A478B">
        <w:rPr>
          <w:color w:val="000000"/>
        </w:rPr>
        <w:t>, tom</w:t>
      </w:r>
      <w:r>
        <w:rPr>
          <w:color w:val="000000"/>
        </w:rPr>
        <w:t>ó</w:t>
      </w:r>
      <w:r w:rsidR="005A478B">
        <w:rPr>
          <w:color w:val="000000"/>
        </w:rPr>
        <w:t xml:space="preserve"> conocimiento que Enel y Acciona habrían procedido con la transmisión de acciones materia del Contrato de Compraventa de Acciones sobre Endesa, situación que otorgaría control exclusivo a Enel sobre Endesa y, a través de esta, de las empresas que controlaba en Perú. </w:t>
      </w:r>
      <w:r>
        <w:rPr>
          <w:color w:val="000000"/>
        </w:rPr>
        <w:t>Es decir, que tras la comunicación detectada y la conducta de los agentes económicos en ella reflejada, se habría cerrado anticipadamente la operación sujeta a su evaluación.</w:t>
      </w:r>
    </w:p>
    <w:p w:rsidR="002355F1" w:rsidRDefault="005A478B" w:rsidP="00D936C4">
      <w:pPr>
        <w:pStyle w:val="Ttulo4"/>
        <w:numPr>
          <w:ilvl w:val="2"/>
          <w:numId w:val="3"/>
        </w:numPr>
        <w:spacing w:line="360" w:lineRule="auto"/>
        <w:rPr>
          <w:color w:val="000000"/>
        </w:rPr>
      </w:pPr>
      <w:bookmarkStart w:id="6" w:name="_Toc47387714"/>
      <w:r>
        <w:rPr>
          <w:color w:val="000000"/>
        </w:rPr>
        <w:t>Resolución 051-2009/CLC-INDECOPI del 9 de julio de 2009</w:t>
      </w:r>
      <w:bookmarkEnd w:id="6"/>
    </w:p>
    <w:p w:rsidR="002355F1" w:rsidRDefault="002355F1" w:rsidP="00D936C4">
      <w:pPr>
        <w:spacing w:line="360" w:lineRule="auto"/>
        <w:ind w:left="720"/>
        <w:jc w:val="both"/>
        <w:rPr>
          <w:b/>
          <w:color w:val="000000"/>
        </w:rPr>
      </w:pPr>
    </w:p>
    <w:p w:rsidR="002355F1" w:rsidRDefault="005A478B" w:rsidP="00D936C4">
      <w:pPr>
        <w:spacing w:line="360" w:lineRule="auto"/>
        <w:jc w:val="both"/>
        <w:rPr>
          <w:color w:val="000000"/>
        </w:rPr>
      </w:pPr>
      <w:r>
        <w:rPr>
          <w:color w:val="000000"/>
        </w:rPr>
        <w:lastRenderedPageBreak/>
        <w:t xml:space="preserve">Al haberse verificado, por información disponible en la </w:t>
      </w:r>
      <w:r w:rsidR="00A42DDA">
        <w:rPr>
          <w:color w:val="000000"/>
        </w:rPr>
        <w:t>CNMV</w:t>
      </w:r>
      <w:r>
        <w:rPr>
          <w:color w:val="000000"/>
        </w:rPr>
        <w:t xml:space="preserve">, que Enel realizó el acto de concentración tras presentar su solicitud de autorización previa, pero antes de la decisión de Comisión, mediante Resolución 051-2009/CLC-INDECOPI del 09 de julio de 2009, </w:t>
      </w:r>
      <w:r>
        <w:t xml:space="preserve">la Comisión </w:t>
      </w:r>
      <w:r>
        <w:rPr>
          <w:color w:val="000000"/>
        </w:rPr>
        <w:t xml:space="preserve">decidió iniciar un procedimiento administrativo sancionador a Enel por encontrarse en un supuesto de infracción administrativa establecido en el artículo 6 de la Ley 26876 y susceptible de sanción conforme al mismo dispositivo legal. </w:t>
      </w:r>
    </w:p>
    <w:p w:rsidR="002355F1" w:rsidRDefault="002355F1" w:rsidP="00D936C4">
      <w:pPr>
        <w:spacing w:line="360" w:lineRule="auto"/>
        <w:rPr>
          <w:color w:val="000000"/>
        </w:rPr>
      </w:pPr>
    </w:p>
    <w:p w:rsidR="002355F1" w:rsidRDefault="005A478B" w:rsidP="00D936C4">
      <w:pPr>
        <w:spacing w:line="360" w:lineRule="auto"/>
        <w:jc w:val="both"/>
        <w:rPr>
          <w:color w:val="000000"/>
        </w:rPr>
      </w:pPr>
      <w:r>
        <w:rPr>
          <w:color w:val="000000"/>
        </w:rPr>
        <w:t xml:space="preserve">Para la Comisión, la información publicada por la CNMV daría cuenta que la operación de concentración notificada por Enel a esta Comisión se habría ejecutado el 25 de junio de 2009, de manera anterior a la decisión de esta Comisión y esta situación </w:t>
      </w:r>
      <w:r>
        <w:t>se encontraba</w:t>
      </w:r>
      <w:r>
        <w:rPr>
          <w:color w:val="000000"/>
        </w:rPr>
        <w:t xml:space="preserve"> reconocida com una infracción a la Ley 26876. Es as</w:t>
      </w:r>
      <w:r>
        <w:t>í que l</w:t>
      </w:r>
      <w:r>
        <w:rPr>
          <w:color w:val="000000"/>
        </w:rPr>
        <w:t>os indicios identificados por la Comisión eran suficientes para iniciar un procedimiento administrativo sancionador en contra de Enel por haber realizado el acto de concentración luego de presentada su solicitud pero antes de la decisión de la Comisión.</w:t>
      </w:r>
    </w:p>
    <w:p w:rsidR="002355F1" w:rsidRDefault="005A478B" w:rsidP="00D936C4">
      <w:pPr>
        <w:pStyle w:val="Ttulo4"/>
        <w:numPr>
          <w:ilvl w:val="2"/>
          <w:numId w:val="3"/>
        </w:numPr>
        <w:spacing w:line="360" w:lineRule="auto"/>
        <w:rPr>
          <w:color w:val="000000"/>
        </w:rPr>
      </w:pPr>
      <w:bookmarkStart w:id="7" w:name="_Toc47387715"/>
      <w:r>
        <w:rPr>
          <w:color w:val="000000"/>
        </w:rPr>
        <w:t>Descargos del 5 de agosto del 2009</w:t>
      </w:r>
      <w:bookmarkEnd w:id="7"/>
    </w:p>
    <w:p w:rsidR="002355F1" w:rsidRDefault="005A478B" w:rsidP="00D936C4">
      <w:pPr>
        <w:spacing w:line="360" w:lineRule="auto"/>
        <w:jc w:val="both"/>
        <w:rPr>
          <w:color w:val="000000"/>
        </w:rPr>
      </w:pPr>
      <w:r>
        <w:rPr>
          <w:color w:val="000000"/>
        </w:rPr>
        <w:t>Respecto a la decisión de inicio, Enel cuestionó la misma</w:t>
      </w:r>
      <w:r w:rsidR="005B3848">
        <w:rPr>
          <w:color w:val="000000"/>
        </w:rPr>
        <w:t xml:space="preserve"> y desarrolló </w:t>
      </w:r>
      <w:r w:rsidR="00635CCA">
        <w:rPr>
          <w:color w:val="000000"/>
        </w:rPr>
        <w:t xml:space="preserve">en su defensa que </w:t>
      </w:r>
      <w:r>
        <w:rPr>
          <w:color w:val="000000"/>
        </w:rPr>
        <w:t>el acto de concentración fue un acto perfeccionado en el extranjero</w:t>
      </w:r>
      <w:r w:rsidR="00635CCA">
        <w:rPr>
          <w:color w:val="000000"/>
        </w:rPr>
        <w:t xml:space="preserve"> y </w:t>
      </w:r>
      <w:r>
        <w:rPr>
          <w:color w:val="000000"/>
        </w:rPr>
        <w:t xml:space="preserve">sujeto a ley extranjera, sobre el cual la Comisión no podría tener injerencia en su realización. </w:t>
      </w:r>
      <w:r w:rsidR="00635CCA">
        <w:rPr>
          <w:color w:val="000000"/>
        </w:rPr>
        <w:t xml:space="preserve">Sobre los actos perfeccionados en el extranjero, </w:t>
      </w:r>
      <w:r w:rsidR="004D7807">
        <w:rPr>
          <w:color w:val="000000"/>
        </w:rPr>
        <w:t xml:space="preserve">Enel </w:t>
      </w:r>
      <w:r>
        <w:rPr>
          <w:color w:val="000000"/>
        </w:rPr>
        <w:t>indicó</w:t>
      </w:r>
      <w:r w:rsidR="00635CCA">
        <w:rPr>
          <w:color w:val="000000"/>
        </w:rPr>
        <w:t xml:space="preserve"> que </w:t>
      </w:r>
      <w:r>
        <w:rPr>
          <w:color w:val="000000"/>
        </w:rPr>
        <w:t xml:space="preserve">los efectos </w:t>
      </w:r>
      <w:r w:rsidR="00635CCA">
        <w:rPr>
          <w:color w:val="000000"/>
        </w:rPr>
        <w:t xml:space="preserve">son </w:t>
      </w:r>
      <w:r>
        <w:rPr>
          <w:color w:val="000000"/>
        </w:rPr>
        <w:t>los que deb</w:t>
      </w:r>
      <w:r w:rsidR="00635CCA">
        <w:rPr>
          <w:color w:val="000000"/>
        </w:rPr>
        <w:t>ían</w:t>
      </w:r>
      <w:r>
        <w:rPr>
          <w:color w:val="000000"/>
        </w:rPr>
        <w:t xml:space="preserve"> ser valorados para </w:t>
      </w:r>
      <w:r w:rsidR="00635CCA">
        <w:rPr>
          <w:color w:val="000000"/>
        </w:rPr>
        <w:t>sentenciar si se concretó</w:t>
      </w:r>
      <w:r>
        <w:rPr>
          <w:color w:val="000000"/>
        </w:rPr>
        <w:t xml:space="preserve"> o no la</w:t>
      </w:r>
      <w:r w:rsidR="006673EA">
        <w:rPr>
          <w:color w:val="000000"/>
        </w:rPr>
        <w:t xml:space="preserve"> operació</w:t>
      </w:r>
      <w:r w:rsidR="00135A7E">
        <w:rPr>
          <w:color w:val="000000"/>
        </w:rPr>
        <w:t>n</w:t>
      </w:r>
      <w:r>
        <w:rPr>
          <w:color w:val="000000"/>
        </w:rPr>
        <w:t xml:space="preserve">. </w:t>
      </w:r>
      <w:r w:rsidR="00635CCA">
        <w:rPr>
          <w:color w:val="000000"/>
        </w:rPr>
        <w:t xml:space="preserve">En un siguiente nivel de análisis, sobre los efectos </w:t>
      </w:r>
      <w:r>
        <w:rPr>
          <w:color w:val="000000"/>
        </w:rPr>
        <w:t>indic</w:t>
      </w:r>
      <w:r w:rsidR="00135A7E">
        <w:rPr>
          <w:color w:val="000000"/>
        </w:rPr>
        <w:t>ó</w:t>
      </w:r>
      <w:r>
        <w:rPr>
          <w:color w:val="000000"/>
        </w:rPr>
        <w:t xml:space="preserve"> Enel que nunca desconoció la competencia de la Comisión ni la necesidad de obtener una autorización previa para que se proceda con la concentración</w:t>
      </w:r>
      <w:r w:rsidR="00635CCA">
        <w:rPr>
          <w:color w:val="000000"/>
        </w:rPr>
        <w:t xml:space="preserve"> y p</w:t>
      </w:r>
      <w:r>
        <w:rPr>
          <w:color w:val="000000"/>
        </w:rPr>
        <w:t xml:space="preserve">or ello, procuró adoptar medidas de suspensión de los efectos </w:t>
      </w:r>
      <w:r w:rsidR="00A42DDA">
        <w:rPr>
          <w:color w:val="000000"/>
        </w:rPr>
        <w:t>de la operación</w:t>
      </w:r>
      <w:r>
        <w:rPr>
          <w:color w:val="000000"/>
        </w:rPr>
        <w:t xml:space="preserve"> </w:t>
      </w:r>
      <w:r w:rsidR="00135A7E">
        <w:rPr>
          <w:color w:val="000000"/>
        </w:rPr>
        <w:t xml:space="preserve">y restringir así </w:t>
      </w:r>
      <w:r w:rsidR="00635CCA">
        <w:rPr>
          <w:color w:val="000000"/>
        </w:rPr>
        <w:t>el despliegue de los mismos</w:t>
      </w:r>
      <w:r w:rsidR="00135A7E">
        <w:rPr>
          <w:color w:val="000000"/>
        </w:rPr>
        <w:t xml:space="preserve">, para no incurrir en </w:t>
      </w:r>
      <w:r>
        <w:rPr>
          <w:color w:val="000000"/>
        </w:rPr>
        <w:t>el supuesto de infracción reconocido en la Ley 26876.</w:t>
      </w:r>
    </w:p>
    <w:p w:rsidR="006673EA" w:rsidRDefault="006673EA" w:rsidP="00D936C4">
      <w:pPr>
        <w:spacing w:line="360" w:lineRule="auto"/>
        <w:jc w:val="both"/>
        <w:rPr>
          <w:color w:val="000000"/>
        </w:rPr>
      </w:pPr>
    </w:p>
    <w:p w:rsidR="002355F1" w:rsidRDefault="005817F6" w:rsidP="00D936C4">
      <w:pPr>
        <w:spacing w:line="360" w:lineRule="auto"/>
        <w:jc w:val="both"/>
        <w:rPr>
          <w:color w:val="000000"/>
        </w:rPr>
      </w:pPr>
      <w:r>
        <w:rPr>
          <w:color w:val="000000"/>
        </w:rPr>
        <w:t>Adicionalmente</w:t>
      </w:r>
      <w:r w:rsidR="005A478B">
        <w:rPr>
          <w:color w:val="000000"/>
        </w:rPr>
        <w:t xml:space="preserve">, </w:t>
      </w:r>
      <w:r>
        <w:rPr>
          <w:color w:val="000000"/>
        </w:rPr>
        <w:t xml:space="preserve">Enel </w:t>
      </w:r>
      <w:r w:rsidR="005A478B">
        <w:rPr>
          <w:color w:val="000000"/>
        </w:rPr>
        <w:t xml:space="preserve">realiza </w:t>
      </w:r>
      <w:r w:rsidR="006673EA">
        <w:rPr>
          <w:color w:val="000000"/>
        </w:rPr>
        <w:t xml:space="preserve">un análisis de </w:t>
      </w:r>
      <w:r w:rsidR="005A478B">
        <w:rPr>
          <w:color w:val="000000"/>
        </w:rPr>
        <w:t>la potestad sancionadora presente en el artículo 6 de la Ley 26876</w:t>
      </w:r>
      <w:r>
        <w:rPr>
          <w:color w:val="000000"/>
        </w:rPr>
        <w:t xml:space="preserve">. Sobre este punto, su defensa demanda a la autoridad </w:t>
      </w:r>
      <w:r w:rsidR="005A478B">
        <w:rPr>
          <w:color w:val="000000"/>
        </w:rPr>
        <w:t>que la norma de concentraciones no prohíbe el perfeccionamiento en el extranjero de un acto jurídico de concentración sujeto a la ley extranjera</w:t>
      </w:r>
      <w:r>
        <w:rPr>
          <w:color w:val="000000"/>
        </w:rPr>
        <w:t xml:space="preserve">. Por lo anterior, cuando se encuentre frente a actos perfeccionados en el extranjero, </w:t>
      </w:r>
      <w:r w:rsidR="005A478B">
        <w:rPr>
          <w:color w:val="000000"/>
        </w:rPr>
        <w:t>la tipificación dispuesta en el artículo 6 de la Ley 26876 debe</w:t>
      </w:r>
      <w:r>
        <w:rPr>
          <w:color w:val="000000"/>
        </w:rPr>
        <w:t>ría</w:t>
      </w:r>
      <w:r w:rsidR="005A478B">
        <w:rPr>
          <w:color w:val="000000"/>
        </w:rPr>
        <w:t xml:space="preserve"> ser interpretada</w:t>
      </w:r>
      <w:r>
        <w:rPr>
          <w:color w:val="000000"/>
        </w:rPr>
        <w:t xml:space="preserve"> considerando que</w:t>
      </w:r>
      <w:r w:rsidR="005A478B">
        <w:rPr>
          <w:color w:val="000000"/>
        </w:rPr>
        <w:t xml:space="preserve"> son los efectos los que determinarán la realización </w:t>
      </w:r>
      <w:r w:rsidR="005A478B">
        <w:rPr>
          <w:color w:val="000000"/>
        </w:rPr>
        <w:lastRenderedPageBreak/>
        <w:t xml:space="preserve">o no de la concentración. </w:t>
      </w:r>
      <w:r>
        <w:rPr>
          <w:color w:val="000000"/>
        </w:rPr>
        <w:t>Bajo la teoría expuesta</w:t>
      </w:r>
      <w:r w:rsidR="005A478B">
        <w:rPr>
          <w:color w:val="000000"/>
        </w:rPr>
        <w:t>, Enel, al haber limitado los efectos de su acto perfeccionado en el extranjero</w:t>
      </w:r>
      <w:r>
        <w:rPr>
          <w:color w:val="000000"/>
        </w:rPr>
        <w:t>,</w:t>
      </w:r>
      <w:r w:rsidR="005A478B">
        <w:rPr>
          <w:color w:val="000000"/>
        </w:rPr>
        <w:t xml:space="preserve"> no se encontraría en el supuesto infractor de la Ley 26876. </w:t>
      </w:r>
    </w:p>
    <w:p w:rsidR="002355F1" w:rsidRDefault="005A478B" w:rsidP="00D936C4">
      <w:pPr>
        <w:pStyle w:val="Ttulo4"/>
        <w:numPr>
          <w:ilvl w:val="2"/>
          <w:numId w:val="3"/>
        </w:numPr>
        <w:spacing w:line="360" w:lineRule="auto"/>
        <w:rPr>
          <w:color w:val="000000"/>
        </w:rPr>
      </w:pPr>
      <w:bookmarkStart w:id="8" w:name="_Toc47387716"/>
      <w:r>
        <w:rPr>
          <w:color w:val="000000"/>
        </w:rPr>
        <w:t>Resolución 001-2010/CLC-INDECOPI del 7 de enero de 2010</w:t>
      </w:r>
      <w:bookmarkEnd w:id="8"/>
      <w:r>
        <w:rPr>
          <w:color w:val="000000"/>
        </w:rPr>
        <w:br/>
      </w:r>
    </w:p>
    <w:p w:rsidR="002355F1" w:rsidRDefault="005A478B" w:rsidP="00D936C4">
      <w:pPr>
        <w:spacing w:line="360" w:lineRule="auto"/>
        <w:jc w:val="both"/>
        <w:rPr>
          <w:color w:val="000000"/>
        </w:rPr>
      </w:pPr>
      <w:r>
        <w:rPr>
          <w:color w:val="000000"/>
        </w:rPr>
        <w:t>La Comisión, mediante Resolución 001-2010/CLC-INDECOPI del 7 de enero de 2010, decid</w:t>
      </w:r>
      <w:r w:rsidR="00882133">
        <w:rPr>
          <w:color w:val="000000"/>
        </w:rPr>
        <w:t>ió</w:t>
      </w:r>
      <w:r>
        <w:rPr>
          <w:color w:val="000000"/>
        </w:rPr>
        <w:t xml:space="preserve"> sancionar a Enel por la infracción al artículo 6 de la Ley 26876</w:t>
      </w:r>
      <w:r w:rsidR="006A2D0E">
        <w:rPr>
          <w:color w:val="000000"/>
        </w:rPr>
        <w:t xml:space="preserve">. A criterio de la Comisión, </w:t>
      </w:r>
      <w:r>
        <w:rPr>
          <w:color w:val="000000"/>
        </w:rPr>
        <w:t>no exist</w:t>
      </w:r>
      <w:r w:rsidR="006A2D0E">
        <w:rPr>
          <w:color w:val="000000"/>
        </w:rPr>
        <w:t>ió</w:t>
      </w:r>
      <w:r>
        <w:rPr>
          <w:color w:val="000000"/>
        </w:rPr>
        <w:t xml:space="preserve"> discusión respecto a la realización del acto de concentración del 25 de junio de 2009, previo a la decisión de la Comisión, </w:t>
      </w:r>
      <w:r w:rsidR="006A2D0E">
        <w:rPr>
          <w:color w:val="000000"/>
        </w:rPr>
        <w:t xml:space="preserve">al haber </w:t>
      </w:r>
      <w:r>
        <w:rPr>
          <w:color w:val="000000"/>
        </w:rPr>
        <w:t>Enel reconocido e</w:t>
      </w:r>
      <w:r>
        <w:t>l</w:t>
      </w:r>
      <w:r>
        <w:rPr>
          <w:color w:val="000000"/>
        </w:rPr>
        <w:t xml:space="preserve"> hecho.</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La Comisión </w:t>
      </w:r>
      <w:r w:rsidR="005A2FD3">
        <w:rPr>
          <w:color w:val="000000"/>
        </w:rPr>
        <w:t xml:space="preserve">sustentó su decisión basándose </w:t>
      </w:r>
      <w:r>
        <w:rPr>
          <w:color w:val="000000"/>
        </w:rPr>
        <w:t xml:space="preserve">que Enel conocía la obligación de suspensión de la operación y los supuestos de infracción, aun cuando </w:t>
      </w:r>
      <w:r w:rsidR="005A2FD3">
        <w:rPr>
          <w:color w:val="000000"/>
        </w:rPr>
        <w:t>en su defensa hubiera propuesto</w:t>
      </w:r>
      <w:r>
        <w:rPr>
          <w:color w:val="000000"/>
        </w:rPr>
        <w:t xml:space="preserve"> una interpretación que excluyera su participación en la conducta infractora. </w:t>
      </w:r>
      <w:r w:rsidR="005A2FD3">
        <w:rPr>
          <w:color w:val="000000"/>
        </w:rPr>
        <w:t>Considerando lo anterior</w:t>
      </w:r>
      <w:r>
        <w:rPr>
          <w:color w:val="000000"/>
        </w:rPr>
        <w:t>, la Comisión inici</w:t>
      </w:r>
      <w:r w:rsidR="005A2FD3">
        <w:rPr>
          <w:color w:val="000000"/>
        </w:rPr>
        <w:t>ó</w:t>
      </w:r>
      <w:r>
        <w:rPr>
          <w:color w:val="000000"/>
        </w:rPr>
        <w:t xml:space="preserve"> su análisi</w:t>
      </w:r>
      <w:r>
        <w:t>s con</w:t>
      </w:r>
      <w:r>
        <w:rPr>
          <w:color w:val="000000"/>
        </w:rPr>
        <w:t xml:space="preserve"> el artículo 9 de la Ley de Concentraciones, </w:t>
      </w:r>
      <w:r w:rsidR="00B655CC">
        <w:rPr>
          <w:color w:val="000000"/>
        </w:rPr>
        <w:t xml:space="preserve">con el objetivo de </w:t>
      </w:r>
      <w:r>
        <w:t>justifica</w:t>
      </w:r>
      <w:r w:rsidR="00B655CC">
        <w:t>r</w:t>
      </w:r>
      <w:r>
        <w:t xml:space="preserve"> su competencia pues </w:t>
      </w:r>
      <w:r>
        <w:rPr>
          <w:color w:val="000000"/>
        </w:rPr>
        <w:t>el ámbito de aplicación de la norma</w:t>
      </w:r>
      <w:r>
        <w:t xml:space="preserve"> peruana de control de concentraciones</w:t>
      </w:r>
      <w:r>
        <w:rPr>
          <w:color w:val="000000"/>
        </w:rPr>
        <w:t xml:space="preserve"> incluye a actos de c</w:t>
      </w:r>
      <w:r>
        <w:t xml:space="preserve">oncentración </w:t>
      </w:r>
      <w:r>
        <w:rPr>
          <w:color w:val="000000"/>
        </w:rPr>
        <w:t>que, pese a haber sido realizados en el extranjero, involucra la modificación permanente de la estructura de control de las empresas en el sector eléctrico peruano.</w:t>
      </w:r>
      <w:r w:rsidR="00B655CC">
        <w:rPr>
          <w:color w:val="000000"/>
        </w:rPr>
        <w:t xml:space="preserve"> </w:t>
      </w:r>
      <w:r>
        <w:rPr>
          <w:color w:val="000000"/>
        </w:rPr>
        <w:t xml:space="preserve">Sin que sea fundamental dónde se realizó el acto de concentración, para la Comisión </w:t>
      </w:r>
      <w:r w:rsidR="00B655CC">
        <w:rPr>
          <w:color w:val="000000"/>
        </w:rPr>
        <w:t xml:space="preserve">la consumación </w:t>
      </w:r>
      <w:r>
        <w:rPr>
          <w:color w:val="000000"/>
        </w:rPr>
        <w:t>origin</w:t>
      </w:r>
      <w:r w:rsidR="00B655CC">
        <w:rPr>
          <w:color w:val="000000"/>
        </w:rPr>
        <w:t>ó</w:t>
      </w:r>
      <w:r>
        <w:rPr>
          <w:color w:val="000000"/>
        </w:rPr>
        <w:t xml:space="preserve"> el efecto inmediato  de modificar la estructura de control de las empresas involucradas y de todas aquellas sobre las que el control directo o indirecto e</w:t>
      </w:r>
      <w:r w:rsidR="00B655CC">
        <w:rPr>
          <w:color w:val="000000"/>
        </w:rPr>
        <w:t>ra</w:t>
      </w:r>
      <w:r>
        <w:rPr>
          <w:color w:val="000000"/>
        </w:rPr>
        <w:t xml:space="preserve"> ejercido.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De igual manera, respecto al argumento propuesto por Enel que, sin perjuicio de la realización del acto en el extranjero, dicho acto no surtió efectos en Perú, la Comisión reiter</w:t>
      </w:r>
      <w:r w:rsidR="00B655CC">
        <w:rPr>
          <w:color w:val="000000"/>
        </w:rPr>
        <w:t xml:space="preserve">ó </w:t>
      </w:r>
      <w:r>
        <w:rPr>
          <w:color w:val="000000"/>
        </w:rPr>
        <w:t xml:space="preserve">que la realización del acto de concentración </w:t>
      </w:r>
      <w:r w:rsidR="00B655CC">
        <w:rPr>
          <w:color w:val="000000"/>
        </w:rPr>
        <w:t>era</w:t>
      </w:r>
      <w:r>
        <w:rPr>
          <w:color w:val="000000"/>
        </w:rPr>
        <w:t xml:space="preserve"> un hecho aceptado y, para estudiar el tema de los efectos, propone identificar el propósito de la Ley 26876</w:t>
      </w:r>
      <w:r w:rsidR="00B655CC">
        <w:rPr>
          <w:color w:val="000000"/>
        </w:rPr>
        <w:t xml:space="preserve">. Respecto al propósito, la Comisión consideró necesario resolver la interrogante </w:t>
      </w:r>
      <w:r>
        <w:rPr>
          <w:color w:val="000000"/>
        </w:rPr>
        <w:t xml:space="preserve">si para sancionar concentraciones hechas en el extranjero sin autorización de la autoridad </w:t>
      </w:r>
      <w:r w:rsidR="00B655CC">
        <w:rPr>
          <w:color w:val="000000"/>
        </w:rPr>
        <w:t>era</w:t>
      </w:r>
      <w:r>
        <w:rPr>
          <w:color w:val="000000"/>
        </w:rPr>
        <w:t xml:space="preserve"> necesario</w:t>
      </w:r>
      <w:r w:rsidR="00B655CC">
        <w:rPr>
          <w:color w:val="000000"/>
        </w:rPr>
        <w:t xml:space="preserve"> observar</w:t>
      </w:r>
      <w:r>
        <w:rPr>
          <w:color w:val="000000"/>
        </w:rPr>
        <w:t xml:space="preserve"> los efectos en la estructura de control. </w:t>
      </w:r>
    </w:p>
    <w:p w:rsidR="002355F1" w:rsidRDefault="002355F1" w:rsidP="00D936C4">
      <w:pPr>
        <w:spacing w:line="360" w:lineRule="auto"/>
        <w:jc w:val="both"/>
        <w:rPr>
          <w:color w:val="000000"/>
        </w:rPr>
      </w:pPr>
    </w:p>
    <w:p w:rsidR="002355F1" w:rsidRDefault="00B655CC" w:rsidP="00D936C4">
      <w:pPr>
        <w:spacing w:line="360" w:lineRule="auto"/>
        <w:jc w:val="both"/>
        <w:rPr>
          <w:color w:val="000000"/>
        </w:rPr>
      </w:pPr>
      <w:r>
        <w:rPr>
          <w:color w:val="000000"/>
        </w:rPr>
        <w:lastRenderedPageBreak/>
        <w:t>La autoridad de competencia sentenció que la Ley 26876 tiene como</w:t>
      </w:r>
      <w:r w:rsidR="005A478B">
        <w:rPr>
          <w:color w:val="000000"/>
        </w:rPr>
        <w:t xml:space="preserve"> propósito realizar una evaluación ex-ante de la operación, pues considera que, una vez realizado este acto, es mucho más complicado y costoso revertir sus efectos. Por ello, el control de estructuras busca identificar</w:t>
      </w:r>
      <w:r>
        <w:rPr>
          <w:color w:val="000000"/>
        </w:rPr>
        <w:t>,</w:t>
      </w:r>
      <w:r w:rsidR="005A478B">
        <w:rPr>
          <w:color w:val="000000"/>
        </w:rPr>
        <w:t xml:space="preserve"> de forma previa al cierre</w:t>
      </w:r>
      <w:r>
        <w:rPr>
          <w:color w:val="000000"/>
        </w:rPr>
        <w:t>,</w:t>
      </w:r>
      <w:r w:rsidR="005A478B">
        <w:rPr>
          <w:color w:val="000000"/>
        </w:rPr>
        <w:t xml:space="preserve"> en las propuestas de modificación de la estructura de control</w:t>
      </w:r>
      <w:r>
        <w:rPr>
          <w:color w:val="000000"/>
        </w:rPr>
        <w:t xml:space="preserve">, </w:t>
      </w:r>
      <w:r w:rsidR="005A478B">
        <w:rPr>
          <w:color w:val="000000"/>
        </w:rPr>
        <w:t xml:space="preserve">si alguno de estos cambios implica un daño o disminución de las condiciones de competencia y libre concurrencia. </w:t>
      </w:r>
      <w:r>
        <w:rPr>
          <w:color w:val="000000"/>
        </w:rPr>
        <w:t>Por lo expuesto</w:t>
      </w:r>
      <w:r w:rsidR="005A478B">
        <w:rPr>
          <w:color w:val="000000"/>
        </w:rPr>
        <w:t xml:space="preserve">, </w:t>
      </w:r>
      <w:r>
        <w:rPr>
          <w:color w:val="000000"/>
        </w:rPr>
        <w:t>una evaluación</w:t>
      </w:r>
      <w:r w:rsidR="005A478B">
        <w:rPr>
          <w:color w:val="000000"/>
        </w:rPr>
        <w:t xml:space="preserve"> posterior al cierre y</w:t>
      </w:r>
      <w:r>
        <w:rPr>
          <w:color w:val="000000"/>
        </w:rPr>
        <w:t xml:space="preserve"> que se decida evaluar los efectos de la consumación, sería una postura alejada</w:t>
      </w:r>
      <w:r w:rsidR="005A478B">
        <w:rPr>
          <w:color w:val="000000"/>
        </w:rPr>
        <w:t xml:space="preserve"> de la lógica del control previo, siendo que los efectos </w:t>
      </w:r>
      <w:r>
        <w:rPr>
          <w:color w:val="000000"/>
        </w:rPr>
        <w:t>corresponderían ser</w:t>
      </w:r>
      <w:r w:rsidR="005A478B">
        <w:rPr>
          <w:color w:val="000000"/>
        </w:rPr>
        <w:t xml:space="preserve"> evaluados por el control ex-post. La norma de concentraciones solo pretende trabajar sobre la concentración en sí misma, quedando los efectos ex-post vinculados a la nueva conformación societaria </w:t>
      </w:r>
      <w:r>
        <w:rPr>
          <w:color w:val="000000"/>
        </w:rPr>
        <w:t xml:space="preserve">y como tal, serían objeto de </w:t>
      </w:r>
      <w:r w:rsidR="005A478B">
        <w:rPr>
          <w:color w:val="000000"/>
        </w:rPr>
        <w:t xml:space="preserve">análisis del control de conductas. </w:t>
      </w:r>
    </w:p>
    <w:p w:rsidR="009E79F9" w:rsidRDefault="009E79F9"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Entonces, </w:t>
      </w:r>
      <w:r w:rsidR="00FD5905">
        <w:rPr>
          <w:color w:val="000000"/>
        </w:rPr>
        <w:t>que Enel proponga el análisis del mandato interno de</w:t>
      </w:r>
      <w:r>
        <w:rPr>
          <w:color w:val="000000"/>
        </w:rPr>
        <w:t xml:space="preserve"> Endesa Latinoamérica </w:t>
      </w:r>
      <w:r w:rsidR="00FD5905">
        <w:rPr>
          <w:color w:val="000000"/>
        </w:rPr>
        <w:t>hacia los</w:t>
      </w:r>
      <w:r>
        <w:rPr>
          <w:color w:val="000000"/>
        </w:rPr>
        <w:t xml:space="preserve"> agentes participantes del mercado eléctrico peruano</w:t>
      </w:r>
      <w:r w:rsidR="00FD5905">
        <w:rPr>
          <w:color w:val="000000"/>
        </w:rPr>
        <w:t>, el cual</w:t>
      </w:r>
      <w:r>
        <w:rPr>
          <w:color w:val="000000"/>
        </w:rPr>
        <w:t xml:space="preserve"> tuvo co</w:t>
      </w:r>
      <w:r>
        <w:t>mo propósito</w:t>
      </w:r>
      <w:r>
        <w:rPr>
          <w:color w:val="000000"/>
        </w:rPr>
        <w:t xml:space="preserve"> limitar los efectos de la operaci</w:t>
      </w:r>
      <w:r>
        <w:t xml:space="preserve">ón </w:t>
      </w:r>
      <w:r>
        <w:rPr>
          <w:color w:val="000000"/>
        </w:rPr>
        <w:t xml:space="preserve">hasta la obtención de la autorización, configuraría un supuesto de la Ley de Competencia y no de la Ley 26876. </w:t>
      </w:r>
      <w:r w:rsidR="00FD5905">
        <w:rPr>
          <w:color w:val="000000"/>
        </w:rPr>
        <w:t>La autoridad de competencia concluyó que el acto descrito era un acto</w:t>
      </w:r>
      <w:r>
        <w:rPr>
          <w:color w:val="000000"/>
        </w:rPr>
        <w:t xml:space="preserve"> de ordenación inter</w:t>
      </w:r>
      <w:r w:rsidR="00FD5905">
        <w:rPr>
          <w:color w:val="000000"/>
        </w:rPr>
        <w:t>na que</w:t>
      </w:r>
      <w:r>
        <w:rPr>
          <w:color w:val="000000"/>
        </w:rPr>
        <w:t xml:space="preserve"> ya conlleva la realización de la concentración y la modificación de la estructura de control de las empresas involucradas</w:t>
      </w:r>
      <w:r w:rsidR="00FD5905">
        <w:rPr>
          <w:color w:val="000000"/>
        </w:rPr>
        <w:t>. En otras palabras, este acto interno solo</w:t>
      </w:r>
      <w:r>
        <w:rPr>
          <w:color w:val="000000"/>
        </w:rPr>
        <w:t xml:space="preserve"> habría impedido la realización de cambios en sus organizaci</w:t>
      </w:r>
      <w:r w:rsidR="00FD5905">
        <w:rPr>
          <w:color w:val="000000"/>
        </w:rPr>
        <w:t xml:space="preserve">ón y desarrollo de funciones. </w:t>
      </w:r>
      <w:r>
        <w:rPr>
          <w:color w:val="000000"/>
        </w:rPr>
        <w:t xml:space="preserve">Es así que la </w:t>
      </w:r>
      <w:r w:rsidR="00FD5905">
        <w:rPr>
          <w:color w:val="000000"/>
        </w:rPr>
        <w:t>evaluación de dichos actos de organización no eran analizables bajo</w:t>
      </w:r>
      <w:r>
        <w:rPr>
          <w:color w:val="000000"/>
        </w:rPr>
        <w:t xml:space="preserve"> la Ley 26876, la cual solo pretende observar aquellos actos referidos al cambio de control.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Para la Comisión,</w:t>
      </w:r>
      <w:r>
        <w:t xml:space="preserve"> era</w:t>
      </w:r>
      <w:r>
        <w:rPr>
          <w:color w:val="000000"/>
        </w:rPr>
        <w:t xml:space="preserve"> evidente que Enel procedió a realizar la concentración sin la autorización de la Comisión y este supuesto se encontraba como una infracción en la Ley 26876, correspondiendo la imposición de una multa según lo establecido por el artículo 6 de la Ley 26876. En el análisis de la multa, la Comisión determinó que Enel, al realizar la concentración, habiendo notificado pero sin la obtención de la autorización de la Comisión, se encontraba en el segundo grupo de conductas infractoras dispuesto en el artículo 6 de la Ley 26876, al cual, correspond</w:t>
      </w:r>
      <w:r w:rsidR="00FD5905">
        <w:rPr>
          <w:color w:val="000000"/>
        </w:rPr>
        <w:t>ía</w:t>
      </w:r>
      <w:r>
        <w:rPr>
          <w:color w:val="000000"/>
        </w:rPr>
        <w:t xml:space="preserve"> </w:t>
      </w:r>
      <w:r w:rsidR="00FD5905">
        <w:rPr>
          <w:color w:val="000000"/>
        </w:rPr>
        <w:t>imponer una</w:t>
      </w:r>
      <w:r>
        <w:rPr>
          <w:color w:val="000000"/>
        </w:rPr>
        <w:t xml:space="preserve"> </w:t>
      </w:r>
      <w:r w:rsidR="00FD5905">
        <w:rPr>
          <w:color w:val="000000"/>
        </w:rPr>
        <w:t>multa</w:t>
      </w:r>
      <w:r>
        <w:rPr>
          <w:color w:val="000000"/>
        </w:rPr>
        <w:t xml:space="preserve"> considerando </w:t>
      </w:r>
      <w:r w:rsidR="00FD5905">
        <w:rPr>
          <w:color w:val="000000"/>
        </w:rPr>
        <w:t>como límite</w:t>
      </w:r>
      <w:r>
        <w:rPr>
          <w:color w:val="000000"/>
        </w:rPr>
        <w:t xml:space="preserve"> el 10% de las </w:t>
      </w:r>
      <w:r>
        <w:rPr>
          <w:color w:val="000000"/>
        </w:rPr>
        <w:lastRenderedPageBreak/>
        <w:t xml:space="preserve">ventas o ingresos brutos percibidos por las empresas que desarrollan alguna actividad en el territorio nacional.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Habiendo determinado la acción de Enel como parte del supuesto de infracción, la Comisión inició el análisis de determinación del monto exacto de multa a imponer. </w:t>
      </w:r>
      <w:r w:rsidR="00FD5905">
        <w:rPr>
          <w:color w:val="000000"/>
        </w:rPr>
        <w:t>Sobre este punto,</w:t>
      </w:r>
      <w:r>
        <w:rPr>
          <w:color w:val="000000"/>
        </w:rPr>
        <w:t xml:space="preserve"> </w:t>
      </w:r>
      <w:r w:rsidR="00FD5905">
        <w:rPr>
          <w:color w:val="000000"/>
        </w:rPr>
        <w:t xml:space="preserve">la autoridad resaltó que la </w:t>
      </w:r>
      <w:r>
        <w:rPr>
          <w:color w:val="000000"/>
        </w:rPr>
        <w:t>conducta sancionable no puede ser más ventajosa para el infractor que respetar las normas infringidas y que el propósito al imponer la multa e</w:t>
      </w:r>
      <w:r w:rsidR="00FD5905">
        <w:rPr>
          <w:color w:val="000000"/>
        </w:rPr>
        <w:t>ra</w:t>
      </w:r>
      <w:r>
        <w:rPr>
          <w:color w:val="000000"/>
        </w:rPr>
        <w:t xml:space="preserve"> la disuasión de la repetición de la conducta infractora. </w:t>
      </w:r>
      <w:r w:rsidR="00FD5905">
        <w:rPr>
          <w:color w:val="000000"/>
        </w:rPr>
        <w:t xml:space="preserve">Considerando que </w:t>
      </w:r>
      <w:r>
        <w:rPr>
          <w:color w:val="000000"/>
        </w:rPr>
        <w:t xml:space="preserve">el accionar de Enel </w:t>
      </w:r>
      <w:r w:rsidR="00FD5905">
        <w:rPr>
          <w:color w:val="000000"/>
        </w:rPr>
        <w:t>representaba una</w:t>
      </w:r>
      <w:r>
        <w:rPr>
          <w:color w:val="000000"/>
        </w:rPr>
        <w:t xml:space="preserve"> deliberada intención de desconocer la ley de Concentraciones, al haber notificado, pero aún así, omitido el pronunciamiento final de la Comisión, </w:t>
      </w:r>
      <w:r w:rsidR="00FD5905">
        <w:rPr>
          <w:color w:val="000000"/>
        </w:rPr>
        <w:t>la autoridad determinó</w:t>
      </w:r>
      <w:r>
        <w:rPr>
          <w:color w:val="000000"/>
        </w:rPr>
        <w:t xml:space="preserve"> la imposición del monto de la multa en 1000 Unidades Impositivas Tributarias. </w:t>
      </w:r>
    </w:p>
    <w:p w:rsidR="002355F1" w:rsidRDefault="002355F1" w:rsidP="00D936C4">
      <w:pPr>
        <w:spacing w:line="360" w:lineRule="auto"/>
        <w:jc w:val="both"/>
        <w:rPr>
          <w:color w:val="000000"/>
        </w:rPr>
      </w:pPr>
    </w:p>
    <w:p w:rsidR="002355F1" w:rsidRDefault="005A478B" w:rsidP="00D936C4">
      <w:pPr>
        <w:pStyle w:val="Ttulo4"/>
        <w:numPr>
          <w:ilvl w:val="2"/>
          <w:numId w:val="3"/>
        </w:numPr>
        <w:spacing w:line="360" w:lineRule="auto"/>
        <w:rPr>
          <w:color w:val="000000"/>
        </w:rPr>
      </w:pPr>
      <w:bookmarkStart w:id="9" w:name="_Toc47387717"/>
      <w:r>
        <w:rPr>
          <w:color w:val="000000"/>
        </w:rPr>
        <w:t>Apelación del 3 de febrero de 2010</w:t>
      </w:r>
      <w:bookmarkEnd w:id="9"/>
      <w:r>
        <w:rPr>
          <w:color w:val="000000"/>
        </w:rPr>
        <w:br/>
      </w:r>
    </w:p>
    <w:p w:rsidR="002355F1" w:rsidRDefault="005A478B" w:rsidP="00D936C4">
      <w:pPr>
        <w:spacing w:line="360" w:lineRule="auto"/>
        <w:jc w:val="both"/>
        <w:rPr>
          <w:color w:val="000000"/>
        </w:rPr>
      </w:pPr>
      <w:r>
        <w:rPr>
          <w:color w:val="000000"/>
        </w:rPr>
        <w:t xml:space="preserve">La </w:t>
      </w:r>
      <w:r w:rsidR="00A83E0D">
        <w:rPr>
          <w:color w:val="000000"/>
        </w:rPr>
        <w:t>decisión de la Comisión</w:t>
      </w:r>
      <w:r>
        <w:rPr>
          <w:color w:val="000000"/>
        </w:rPr>
        <w:t xml:space="preserve"> fue apelada por Enel, mediante la cual </w:t>
      </w:r>
      <w:r>
        <w:t>reiteró</w:t>
      </w:r>
      <w:r>
        <w:rPr>
          <w:color w:val="000000"/>
        </w:rPr>
        <w:t xml:space="preserve"> a la Sala que</w:t>
      </w:r>
      <w:r>
        <w:t>, en respeto al principio de territorialidad</w:t>
      </w:r>
      <w:r w:rsidR="00A83E0D">
        <w:t xml:space="preserve"> y de</w:t>
      </w:r>
      <w:r>
        <w:rPr>
          <w:color w:val="000000"/>
        </w:rPr>
        <w:t xml:space="preserve"> la norma peruana de concentraciones, </w:t>
      </w:r>
      <w:r>
        <w:t xml:space="preserve">esta </w:t>
      </w:r>
      <w:r w:rsidR="00A83E0D">
        <w:t>debería ser</w:t>
      </w:r>
      <w:r>
        <w:t xml:space="preserve"> </w:t>
      </w:r>
      <w:r>
        <w:rPr>
          <w:color w:val="000000"/>
        </w:rPr>
        <w:t>aplicada para verificar los efectos que la ejecución de las obligaciones contraídas en el extranjero</w:t>
      </w:r>
      <w:r w:rsidR="006673EA">
        <w:rPr>
          <w:color w:val="000000"/>
        </w:rPr>
        <w:t xml:space="preserve"> </w:t>
      </w:r>
      <w:r>
        <w:rPr>
          <w:color w:val="000000"/>
        </w:rPr>
        <w:t>puedan tener sobre las condiciones de competencia en el Perú.</w:t>
      </w:r>
      <w:r w:rsidR="00C55475">
        <w:rPr>
          <w:color w:val="000000"/>
        </w:rPr>
        <w:t xml:space="preserve"> A esta aseveración,</w:t>
      </w:r>
      <w:r w:rsidR="00F307E3">
        <w:rPr>
          <w:color w:val="000000"/>
        </w:rPr>
        <w:t xml:space="preserve"> incluyó una</w:t>
      </w:r>
      <w:r w:rsidR="00C55475">
        <w:rPr>
          <w:color w:val="000000"/>
        </w:rPr>
        <w:t xml:space="preserve"> cr</w:t>
      </w:r>
      <w:r w:rsidR="00F307E3">
        <w:rPr>
          <w:color w:val="000000"/>
        </w:rPr>
        <w:t>ítica a la falta de</w:t>
      </w:r>
      <w:r w:rsidR="00C55475">
        <w:rPr>
          <w:color w:val="000000"/>
        </w:rPr>
        <w:t xml:space="preserve"> claridad del tipo infractor</w:t>
      </w:r>
      <w:r w:rsidR="00F307E3">
        <w:rPr>
          <w:color w:val="000000"/>
        </w:rPr>
        <w:t xml:space="preserve"> de la Ley 26876</w:t>
      </w:r>
      <w:r w:rsidR="00C55475">
        <w:rPr>
          <w:color w:val="000000"/>
        </w:rPr>
        <w:t xml:space="preserve">, </w:t>
      </w:r>
      <w:r w:rsidR="00F307E3">
        <w:rPr>
          <w:color w:val="000000"/>
        </w:rPr>
        <w:t>pues</w:t>
      </w:r>
      <w:r w:rsidR="00C55475">
        <w:rPr>
          <w:color w:val="000000"/>
        </w:rPr>
        <w:t xml:space="preserve"> no se podía considerar que un solo hecho</w:t>
      </w:r>
      <w:r w:rsidR="00F307E3">
        <w:rPr>
          <w:color w:val="000000"/>
        </w:rPr>
        <w:t xml:space="preserve"> como</w:t>
      </w:r>
      <w:r w:rsidR="00C55475">
        <w:rPr>
          <w:color w:val="000000"/>
        </w:rPr>
        <w:t xml:space="preserve"> “omitir la notificación y realizar la operación” </w:t>
      </w:r>
      <w:r w:rsidR="00F307E3">
        <w:rPr>
          <w:color w:val="000000"/>
        </w:rPr>
        <w:t>tenga</w:t>
      </w:r>
      <w:r w:rsidR="00C55475">
        <w:rPr>
          <w:color w:val="000000"/>
        </w:rPr>
        <w:t xml:space="preserve"> una doble consecuencia jurídica </w:t>
      </w:r>
      <w:r w:rsidR="00F307E3">
        <w:rPr>
          <w:color w:val="000000"/>
        </w:rPr>
        <w:t xml:space="preserve">tal y como se encuentra en </w:t>
      </w:r>
      <w:r w:rsidR="00C55475">
        <w:rPr>
          <w:color w:val="000000"/>
        </w:rPr>
        <w:t xml:space="preserve"> el artículo 6 de la Ley 26876</w:t>
      </w:r>
      <w:r w:rsidR="00F307E3">
        <w:rPr>
          <w:color w:val="000000"/>
        </w:rPr>
        <w:t>, situación que le restaba</w:t>
      </w:r>
      <w:r w:rsidR="00C55475">
        <w:rPr>
          <w:color w:val="000000"/>
        </w:rPr>
        <w:t xml:space="preserve"> claridad a</w:t>
      </w:r>
      <w:r w:rsidR="00F307E3">
        <w:rPr>
          <w:color w:val="000000"/>
        </w:rPr>
        <w:t xml:space="preserve"> qué podíamos identificar como e</w:t>
      </w:r>
      <w:r w:rsidR="00C55475">
        <w:rPr>
          <w:color w:val="000000"/>
        </w:rPr>
        <w:t>l supuesto de hecho.</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t>Además,</w:t>
      </w:r>
      <w:r>
        <w:rPr>
          <w:color w:val="000000"/>
        </w:rPr>
        <w:t xml:space="preserve"> Enel c</w:t>
      </w:r>
      <w:r>
        <w:t>ritic</w:t>
      </w:r>
      <w:r w:rsidR="00F307E3">
        <w:t xml:space="preserve">ó que la Comisión haya omitido un </w:t>
      </w:r>
      <w:r>
        <w:rPr>
          <w:color w:val="000000"/>
        </w:rPr>
        <w:t>análisis de</w:t>
      </w:r>
      <w:r w:rsidR="006673EA">
        <w:rPr>
          <w:color w:val="000000"/>
        </w:rPr>
        <w:t xml:space="preserve"> la medida de dispensa de los efectos </w:t>
      </w:r>
      <w:r>
        <w:rPr>
          <w:color w:val="000000"/>
        </w:rPr>
        <w:t>adoptad</w:t>
      </w:r>
      <w:r w:rsidR="00F307E3">
        <w:rPr>
          <w:color w:val="000000"/>
        </w:rPr>
        <w:t>a</w:t>
      </w:r>
      <w:r>
        <w:rPr>
          <w:color w:val="000000"/>
        </w:rPr>
        <w:t xml:space="preserve"> para evitar que el cierre de la operación llevado a cabo en el extranjero </w:t>
      </w:r>
      <w:r w:rsidR="00F307E3">
        <w:rPr>
          <w:color w:val="000000"/>
        </w:rPr>
        <w:t xml:space="preserve">tuviera </w:t>
      </w:r>
      <w:r>
        <w:rPr>
          <w:color w:val="000000"/>
        </w:rPr>
        <w:t>efectos propios de concentración en Perú</w:t>
      </w:r>
      <w:r>
        <w:t xml:space="preserve"> de forma inmediata</w:t>
      </w:r>
      <w:r>
        <w:rPr>
          <w:color w:val="000000"/>
        </w:rPr>
        <w:t xml:space="preserve">.  </w:t>
      </w:r>
      <w:r w:rsidR="00F307E3">
        <w:rPr>
          <w:color w:val="000000"/>
        </w:rPr>
        <w:t>En su recurso,</w:t>
      </w:r>
      <w:r w:rsidR="006673EA">
        <w:rPr>
          <w:color w:val="000000"/>
        </w:rPr>
        <w:t xml:space="preserve"> Enel </w:t>
      </w:r>
      <w:r w:rsidR="00F307E3">
        <w:rPr>
          <w:color w:val="000000"/>
        </w:rPr>
        <w:t xml:space="preserve">afirmó </w:t>
      </w:r>
      <w:r w:rsidR="006673EA">
        <w:rPr>
          <w:color w:val="000000"/>
        </w:rPr>
        <w:t xml:space="preserve">que la Comisión, </w:t>
      </w:r>
      <w:r w:rsidR="00F307E3">
        <w:rPr>
          <w:color w:val="000000"/>
        </w:rPr>
        <w:t xml:space="preserve">desconociendo la evaluación de la medida, </w:t>
      </w:r>
      <w:r>
        <w:rPr>
          <w:color w:val="000000"/>
        </w:rPr>
        <w:t>decidió imponer una multa en base a la intencionalidad de la empresa.</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lastRenderedPageBreak/>
        <w:t>Sobre la multa, finalmente, Enel incorpor</w:t>
      </w:r>
      <w:r w:rsidR="00F307E3">
        <w:rPr>
          <w:color w:val="000000"/>
        </w:rPr>
        <w:t>ó</w:t>
      </w:r>
      <w:r>
        <w:rPr>
          <w:color w:val="000000"/>
        </w:rPr>
        <w:t xml:space="preserve"> un cuestionamiento a la </w:t>
      </w:r>
      <w:r w:rsidR="00F307E3">
        <w:rPr>
          <w:color w:val="000000"/>
        </w:rPr>
        <w:t>misma y, con especial atención,</w:t>
      </w:r>
      <w:r>
        <w:rPr>
          <w:color w:val="000000"/>
        </w:rPr>
        <w:t xml:space="preserve"> </w:t>
      </w:r>
      <w:r w:rsidR="00F307E3">
        <w:rPr>
          <w:color w:val="000000"/>
        </w:rPr>
        <w:t>a la falta de</w:t>
      </w:r>
      <w:r>
        <w:rPr>
          <w:color w:val="000000"/>
        </w:rPr>
        <w:t xml:space="preserve"> empleo de los criterios de graduación establecidos en la Ley de Procedimiento Administrativo General. </w:t>
      </w:r>
    </w:p>
    <w:p w:rsidR="002355F1" w:rsidRDefault="005A478B" w:rsidP="00D936C4">
      <w:pPr>
        <w:pStyle w:val="Ttulo4"/>
        <w:numPr>
          <w:ilvl w:val="2"/>
          <w:numId w:val="3"/>
        </w:numPr>
        <w:spacing w:line="360" w:lineRule="auto"/>
        <w:rPr>
          <w:color w:val="000000"/>
        </w:rPr>
      </w:pPr>
      <w:bookmarkStart w:id="10" w:name="_Toc47387718"/>
      <w:r>
        <w:rPr>
          <w:color w:val="000000"/>
        </w:rPr>
        <w:t>Resolución 0794-2011/SC1-INDECOPI del 5 de abril de 2011</w:t>
      </w:r>
      <w:bookmarkEnd w:id="10"/>
      <w:r>
        <w:br/>
      </w:r>
    </w:p>
    <w:p w:rsidR="002355F1" w:rsidRDefault="00611BAB" w:rsidP="00D936C4">
      <w:pPr>
        <w:spacing w:line="360" w:lineRule="auto"/>
        <w:jc w:val="both"/>
        <w:rPr>
          <w:color w:val="000000"/>
        </w:rPr>
      </w:pPr>
      <w:r>
        <w:rPr>
          <w:color w:val="000000"/>
        </w:rPr>
        <w:t>Por último,</w:t>
      </w:r>
      <w:r w:rsidR="005A478B">
        <w:rPr>
          <w:color w:val="000000"/>
        </w:rPr>
        <w:t xml:space="preserve"> mediante Resolución 0794-2011/SC1-INDECOPI, la Sala de Defensa de la Competencia confirm</w:t>
      </w:r>
      <w:r>
        <w:rPr>
          <w:color w:val="000000"/>
        </w:rPr>
        <w:t>ó</w:t>
      </w:r>
      <w:r w:rsidR="005A478B">
        <w:rPr>
          <w:color w:val="000000"/>
        </w:rPr>
        <w:t xml:space="preserve"> la Resolución 001-2010/CLC-INDECOPI, mediante la cual la Comisión determinó </w:t>
      </w:r>
      <w:r>
        <w:rPr>
          <w:color w:val="000000"/>
        </w:rPr>
        <w:t>la responsabilidad de Enel</w:t>
      </w:r>
      <w:r w:rsidR="005A478B">
        <w:rPr>
          <w:color w:val="000000"/>
        </w:rPr>
        <w:t xml:space="preserve"> por infringir el artículo 6 de la Ley 26876 al </w:t>
      </w:r>
      <w:r w:rsidR="00D95C8C">
        <w:rPr>
          <w:color w:val="000000"/>
        </w:rPr>
        <w:t>concretado la operación notificada de forma previa a</w:t>
      </w:r>
      <w:r w:rsidR="005A478B">
        <w:rPr>
          <w:color w:val="000000"/>
        </w:rPr>
        <w:t xml:space="preserve"> la decisión de la Comisión. </w:t>
      </w:r>
    </w:p>
    <w:p w:rsidR="002355F1" w:rsidRDefault="002355F1" w:rsidP="00D936C4">
      <w:pPr>
        <w:spacing w:line="360" w:lineRule="auto"/>
        <w:jc w:val="both"/>
        <w:rPr>
          <w:color w:val="000000"/>
        </w:rPr>
      </w:pPr>
    </w:p>
    <w:p w:rsidR="002355F1" w:rsidRDefault="00D645FE" w:rsidP="00D936C4">
      <w:pPr>
        <w:spacing w:line="360" w:lineRule="auto"/>
        <w:jc w:val="both"/>
        <w:rPr>
          <w:color w:val="000000"/>
        </w:rPr>
      </w:pPr>
      <w:r>
        <w:rPr>
          <w:color w:val="000000"/>
        </w:rPr>
        <w:t>Bajo el mismo razonamiento de la Comisión</w:t>
      </w:r>
      <w:r w:rsidR="005A478B">
        <w:rPr>
          <w:color w:val="000000"/>
        </w:rPr>
        <w:t xml:space="preserve">, la Sala </w:t>
      </w:r>
      <w:r>
        <w:rPr>
          <w:color w:val="000000"/>
        </w:rPr>
        <w:t xml:space="preserve">resolvió la apelación indicando que, </w:t>
      </w:r>
      <w:r w:rsidR="005A478B">
        <w:rPr>
          <w:color w:val="000000"/>
        </w:rPr>
        <w:t xml:space="preserve">si bien la operación </w:t>
      </w:r>
      <w:r>
        <w:rPr>
          <w:color w:val="000000"/>
        </w:rPr>
        <w:t xml:space="preserve">fue realizada </w:t>
      </w:r>
      <w:r w:rsidR="005A478B">
        <w:rPr>
          <w:color w:val="000000"/>
        </w:rPr>
        <w:t xml:space="preserve">en el extranjero, </w:t>
      </w:r>
      <w:r>
        <w:rPr>
          <w:color w:val="000000"/>
        </w:rPr>
        <w:t>dicho acto</w:t>
      </w:r>
      <w:r w:rsidR="005A478B">
        <w:rPr>
          <w:color w:val="000000"/>
        </w:rPr>
        <w:t xml:space="preserve"> generó de forma inmediata efectos en el territorio </w:t>
      </w:r>
      <w:r>
        <w:rPr>
          <w:color w:val="000000"/>
        </w:rPr>
        <w:t>peruano</w:t>
      </w:r>
      <w:r w:rsidR="005A478B">
        <w:rPr>
          <w:color w:val="000000"/>
        </w:rPr>
        <w:t xml:space="preserve"> y cambios en la estructura de control de las empresas involucradas. </w:t>
      </w:r>
      <w:r w:rsidR="00246A8E">
        <w:rPr>
          <w:color w:val="000000"/>
        </w:rPr>
        <w:t xml:space="preserve">Aún más, </w:t>
      </w:r>
      <w:r>
        <w:rPr>
          <w:color w:val="000000"/>
        </w:rPr>
        <w:t xml:space="preserve">fue clara al precisar que </w:t>
      </w:r>
      <w:r w:rsidR="00246A8E">
        <w:rPr>
          <w:color w:val="000000"/>
        </w:rPr>
        <w:t xml:space="preserve">la </w:t>
      </w:r>
      <w:r w:rsidR="005A478B">
        <w:rPr>
          <w:color w:val="000000"/>
        </w:rPr>
        <w:t xml:space="preserve">situación de cambio de control </w:t>
      </w:r>
      <w:r>
        <w:rPr>
          <w:color w:val="000000"/>
        </w:rPr>
        <w:t>por si sola</w:t>
      </w:r>
      <w:r w:rsidR="00246A8E">
        <w:rPr>
          <w:color w:val="000000"/>
        </w:rPr>
        <w:t xml:space="preserve"> </w:t>
      </w:r>
      <w:r w:rsidR="005A478B">
        <w:rPr>
          <w:color w:val="000000"/>
        </w:rPr>
        <w:t>genera efectos</w:t>
      </w:r>
      <w:r>
        <w:rPr>
          <w:color w:val="000000"/>
        </w:rPr>
        <w:t xml:space="preserve">, y que dicho despliegue </w:t>
      </w:r>
      <w:r w:rsidR="005A478B">
        <w:rPr>
          <w:color w:val="000000"/>
        </w:rPr>
        <w:t xml:space="preserve">no depende de la decisión de las partes de ejercitar o no los derechos inherentes a su nueva posición. </w:t>
      </w:r>
      <w:r>
        <w:rPr>
          <w:color w:val="000000"/>
        </w:rPr>
        <w:t>En esta línea argumental, la Sala concluyó que resultó</w:t>
      </w:r>
      <w:r w:rsidR="005A478B">
        <w:rPr>
          <w:color w:val="000000"/>
        </w:rPr>
        <w:t xml:space="preserve"> suficiente </w:t>
      </w:r>
      <w:r>
        <w:rPr>
          <w:color w:val="000000"/>
        </w:rPr>
        <w:t>la creación de</w:t>
      </w:r>
      <w:r w:rsidR="005A478B">
        <w:rPr>
          <w:color w:val="000000"/>
        </w:rPr>
        <w:t xml:space="preserve"> condiciones para ejercer potencialmente una influencia decisiva en decisiones estratégicas y comerciales de los agentes, sin que sea necesari</w:t>
      </w:r>
      <w:r>
        <w:rPr>
          <w:color w:val="000000"/>
        </w:rPr>
        <w:t>o</w:t>
      </w:r>
      <w:r w:rsidR="005A478B">
        <w:rPr>
          <w:color w:val="000000"/>
        </w:rPr>
        <w:t xml:space="preserve"> que se ejerza efectivamente el poder de decisión. </w:t>
      </w:r>
    </w:p>
    <w:p w:rsidR="002355F1" w:rsidRDefault="002355F1" w:rsidP="00D936C4">
      <w:pPr>
        <w:spacing w:line="360" w:lineRule="auto"/>
        <w:jc w:val="both"/>
        <w:rPr>
          <w:color w:val="000000"/>
        </w:rPr>
      </w:pPr>
    </w:p>
    <w:p w:rsidR="00A86881" w:rsidRDefault="00A86881" w:rsidP="00D936C4">
      <w:pPr>
        <w:spacing w:line="360" w:lineRule="auto"/>
        <w:jc w:val="both"/>
        <w:rPr>
          <w:color w:val="000000"/>
        </w:rPr>
      </w:pPr>
      <w:r>
        <w:rPr>
          <w:color w:val="000000"/>
        </w:rPr>
        <w:t>Aprovechando la discusión llevada a su instancia, la Sala reiteró que</w:t>
      </w:r>
      <w:r w:rsidR="005A478B">
        <w:rPr>
          <w:color w:val="000000"/>
        </w:rPr>
        <w:t xml:space="preserve"> las operaciones celebradas en el extranjero estarán sometidas a la Ley 26876 </w:t>
      </w:r>
      <w:r>
        <w:rPr>
          <w:color w:val="000000"/>
        </w:rPr>
        <w:t>siempre que las mismas provoquen</w:t>
      </w:r>
      <w:r w:rsidR="005A478B">
        <w:rPr>
          <w:color w:val="000000"/>
        </w:rPr>
        <w:t xml:space="preserve"> un cambio permanente en la estructura de control de alguna empresa que desarrolle su actividad en el sector electricidad en Perú. </w:t>
      </w:r>
      <w:r>
        <w:rPr>
          <w:color w:val="000000"/>
        </w:rPr>
        <w:t xml:space="preserve">Bajo esta premisa, </w:t>
      </w:r>
      <w:r w:rsidR="005A478B">
        <w:rPr>
          <w:color w:val="000000"/>
        </w:rPr>
        <w:t xml:space="preserve">la sola realización de la operación sin obtener la autorización permitió la configuración de la infracción imputada, pues, con el cierre de la operación, los cambios en estructura de control de las empresas que participan en el mercado peruano ocurrieron de forma inmediata. </w:t>
      </w:r>
    </w:p>
    <w:p w:rsidR="00A86881" w:rsidRDefault="00A86881" w:rsidP="00D936C4">
      <w:pPr>
        <w:spacing w:line="360" w:lineRule="auto"/>
        <w:jc w:val="both"/>
        <w:rPr>
          <w:color w:val="000000"/>
        </w:rPr>
      </w:pPr>
    </w:p>
    <w:p w:rsidR="002355F1" w:rsidRDefault="005A478B" w:rsidP="00D936C4">
      <w:pPr>
        <w:spacing w:line="360" w:lineRule="auto"/>
        <w:jc w:val="both"/>
        <w:rPr>
          <w:color w:val="000000"/>
        </w:rPr>
      </w:pPr>
      <w:r>
        <w:rPr>
          <w:color w:val="000000"/>
        </w:rPr>
        <w:t>Sobre la medida propuesta por Enel para suspender los efectos hasta la autorización de la Comisión, la Sala indic</w:t>
      </w:r>
      <w:r w:rsidR="00A86881">
        <w:rPr>
          <w:color w:val="000000"/>
        </w:rPr>
        <w:t>ó</w:t>
      </w:r>
      <w:r>
        <w:rPr>
          <w:color w:val="000000"/>
        </w:rPr>
        <w:t xml:space="preserve"> que esta medida e</w:t>
      </w:r>
      <w:r w:rsidR="00A86881">
        <w:rPr>
          <w:color w:val="000000"/>
        </w:rPr>
        <w:t xml:space="preserve">ra </w:t>
      </w:r>
      <w:r>
        <w:rPr>
          <w:color w:val="000000"/>
        </w:rPr>
        <w:t>un</w:t>
      </w:r>
      <w:r w:rsidR="00A86881">
        <w:rPr>
          <w:color w:val="000000"/>
        </w:rPr>
        <w:t xml:space="preserve"> fiel</w:t>
      </w:r>
      <w:r>
        <w:rPr>
          <w:color w:val="000000"/>
        </w:rPr>
        <w:t xml:space="preserve"> reflejo de la potestad de disponer que se mantengan las condiciones preexistentes una vez producido el cierre de operación y, en ese </w:t>
      </w:r>
      <w:r>
        <w:rPr>
          <w:color w:val="000000"/>
        </w:rPr>
        <w:lastRenderedPageBreak/>
        <w:t>sentido, dicha medida e</w:t>
      </w:r>
      <w:r w:rsidR="00A86881">
        <w:rPr>
          <w:color w:val="000000"/>
        </w:rPr>
        <w:t>ra</w:t>
      </w:r>
      <w:r>
        <w:rPr>
          <w:color w:val="000000"/>
        </w:rPr>
        <w:t xml:space="preserve"> una confirmación que Enel hizo ejercicio de</w:t>
      </w:r>
      <w:r w:rsidR="00A86881">
        <w:rPr>
          <w:color w:val="000000"/>
        </w:rPr>
        <w:t>l</w:t>
      </w:r>
      <w:r>
        <w:rPr>
          <w:color w:val="000000"/>
        </w:rPr>
        <w:t xml:space="preserve"> control que ostentaba como resultado de la adquisición de acciones correspondientes a Acciona en Endesa.</w:t>
      </w:r>
    </w:p>
    <w:p w:rsidR="002355F1" w:rsidRDefault="002355F1" w:rsidP="00D936C4">
      <w:pPr>
        <w:spacing w:line="360" w:lineRule="auto"/>
        <w:jc w:val="both"/>
        <w:rPr>
          <w:color w:val="000000"/>
        </w:rPr>
      </w:pPr>
    </w:p>
    <w:p w:rsidR="001F214F" w:rsidRDefault="001F4AB4" w:rsidP="00D936C4">
      <w:pPr>
        <w:spacing w:line="360" w:lineRule="auto"/>
        <w:jc w:val="both"/>
        <w:rPr>
          <w:color w:val="000000"/>
        </w:rPr>
      </w:pPr>
      <w:r>
        <w:rPr>
          <w:color w:val="000000"/>
        </w:rPr>
        <w:t>Dejando a salvo e</w:t>
      </w:r>
      <w:r w:rsidR="005A478B">
        <w:rPr>
          <w:color w:val="000000"/>
        </w:rPr>
        <w:t>l análisis de fondo realizado por la Comisión, la Sala</w:t>
      </w:r>
      <w:r>
        <w:rPr>
          <w:color w:val="000000"/>
        </w:rPr>
        <w:t xml:space="preserve"> </w:t>
      </w:r>
      <w:r w:rsidR="005A478B">
        <w:rPr>
          <w:color w:val="000000"/>
        </w:rPr>
        <w:t>decid</w:t>
      </w:r>
      <w:r w:rsidR="00A86881">
        <w:rPr>
          <w:color w:val="000000"/>
        </w:rPr>
        <w:t xml:space="preserve">ió </w:t>
      </w:r>
      <w:r w:rsidR="005A478B">
        <w:rPr>
          <w:color w:val="000000"/>
        </w:rPr>
        <w:t xml:space="preserve">declarar la nulidad de la Resolución 001-2010/CLC-INDECOPI en el extremo de la imposición </w:t>
      </w:r>
      <w:r>
        <w:rPr>
          <w:color w:val="000000"/>
        </w:rPr>
        <w:t>de la multa de</w:t>
      </w:r>
      <w:r w:rsidR="005A478B">
        <w:rPr>
          <w:color w:val="000000"/>
        </w:rPr>
        <w:t xml:space="preserve"> 1000 Unidades Impositivas Tributarias</w:t>
      </w:r>
      <w:r>
        <w:rPr>
          <w:color w:val="000000"/>
        </w:rPr>
        <w:t xml:space="preserve">. Sustentó su decisión en que </w:t>
      </w:r>
      <w:r w:rsidR="005A478B">
        <w:rPr>
          <w:color w:val="000000"/>
        </w:rPr>
        <w:t xml:space="preserve"> la Comisión no habría motivado de forma suficiente la graduación de la multa y</w:t>
      </w:r>
      <w:r w:rsidR="00322CE4">
        <w:rPr>
          <w:color w:val="000000"/>
        </w:rPr>
        <w:t>, en un nuevo análisis que incorporó</w:t>
      </w:r>
      <w:r w:rsidR="005A478B">
        <w:rPr>
          <w:color w:val="000000"/>
        </w:rPr>
        <w:t xml:space="preserve"> </w:t>
      </w:r>
      <w:r w:rsidR="00322CE4">
        <w:rPr>
          <w:color w:val="000000"/>
        </w:rPr>
        <w:t xml:space="preserve">los criterios </w:t>
      </w:r>
      <w:r w:rsidR="005A478B">
        <w:rPr>
          <w:color w:val="000000"/>
        </w:rPr>
        <w:t>graduación de la Ley del Procedimiento Administrativo General</w:t>
      </w:r>
      <w:r w:rsidR="00246A8E">
        <w:rPr>
          <w:color w:val="000000"/>
        </w:rPr>
        <w:t xml:space="preserve"> (en adelante,</w:t>
      </w:r>
      <w:r w:rsidR="005A478B">
        <w:rPr>
          <w:color w:val="000000"/>
        </w:rPr>
        <w:t xml:space="preserve"> Ley 27444</w:t>
      </w:r>
      <w:r w:rsidR="00246A8E">
        <w:rPr>
          <w:color w:val="000000"/>
        </w:rPr>
        <w:t>)</w:t>
      </w:r>
      <w:r w:rsidR="00322CE4">
        <w:rPr>
          <w:color w:val="000000"/>
        </w:rPr>
        <w:t>, fijó la sanción en 100 Unidades Impositivas Tributarias.</w:t>
      </w:r>
      <w:r w:rsidR="005A478B">
        <w:rPr>
          <w:color w:val="000000"/>
        </w:rPr>
        <w:t xml:space="preserve"> </w:t>
      </w:r>
    </w:p>
    <w:p w:rsidR="001F214F" w:rsidRDefault="005A478B" w:rsidP="00D936C4">
      <w:pPr>
        <w:pStyle w:val="Ttulo1"/>
        <w:numPr>
          <w:ilvl w:val="0"/>
          <w:numId w:val="3"/>
        </w:numPr>
        <w:snapToGrid w:val="0"/>
        <w:spacing w:line="360" w:lineRule="auto"/>
        <w:rPr>
          <w:color w:val="000000"/>
          <w:sz w:val="24"/>
          <w:szCs w:val="24"/>
        </w:rPr>
      </w:pPr>
      <w:bookmarkStart w:id="11" w:name="_Toc47387719"/>
      <w:r>
        <w:rPr>
          <w:color w:val="000000"/>
          <w:sz w:val="24"/>
          <w:szCs w:val="24"/>
        </w:rPr>
        <w:t>Marco legal del control de concentraciones en el sector eléctrico</w:t>
      </w:r>
      <w:bookmarkEnd w:id="11"/>
    </w:p>
    <w:p w:rsidR="00D00814" w:rsidRDefault="00D00814" w:rsidP="00D00814"/>
    <w:p w:rsidR="005420BD" w:rsidRDefault="00D00814" w:rsidP="00D00814">
      <w:pPr>
        <w:spacing w:line="360" w:lineRule="auto"/>
        <w:jc w:val="both"/>
        <w:rPr>
          <w:color w:val="000000"/>
        </w:rPr>
      </w:pPr>
      <w:r w:rsidRPr="00D00814">
        <w:rPr>
          <w:color w:val="000000"/>
        </w:rPr>
        <w:t xml:space="preserve">Expuestos los antecedentes del caso, es fundamental recordar que el procedimiento administrativo sancionador devino de la existencia de un régimen de control previo de las concentraciones en el sector eléctrico.  </w:t>
      </w:r>
      <w:r>
        <w:rPr>
          <w:color w:val="000000"/>
        </w:rPr>
        <w:t xml:space="preserve">Para ello, es relevante precisar lo siguiente: hasta el momento de la publicación del presente trabajo académico, </w:t>
      </w:r>
      <w:r w:rsidR="005420BD">
        <w:rPr>
          <w:color w:val="000000"/>
        </w:rPr>
        <w:t xml:space="preserve">el control previo de concentraciones solo se encontraba vigente para aquellas operaciones que vinculaban a agentes del sector eléctrico del mercado peruano. </w:t>
      </w:r>
    </w:p>
    <w:p w:rsidR="005420BD" w:rsidRDefault="005420BD" w:rsidP="00D00814">
      <w:pPr>
        <w:spacing w:line="360" w:lineRule="auto"/>
        <w:jc w:val="both"/>
        <w:rPr>
          <w:color w:val="000000"/>
        </w:rPr>
      </w:pPr>
    </w:p>
    <w:p w:rsidR="00270477" w:rsidRDefault="00270477" w:rsidP="00270477">
      <w:pPr>
        <w:spacing w:line="360" w:lineRule="auto"/>
        <w:jc w:val="both"/>
        <w:rPr>
          <w:color w:val="000000"/>
        </w:rPr>
      </w:pPr>
      <w:r>
        <w:rPr>
          <w:color w:val="000000"/>
        </w:rPr>
        <w:t xml:space="preserve">Todo ello, indefectiblemente, estuvo atado a las reformas que se llevaron a cabo en la economía nacional y, particularmente, aquellas medidas que revolucionaron el sector eléctrico. Cada vez más abierto al mercado privado y dejando atrás el poderío estatal, el control previo busco garantizar la libre competencia en este sector tan particular.  </w:t>
      </w:r>
    </w:p>
    <w:p w:rsidR="00270477" w:rsidRDefault="00270477" w:rsidP="00270477">
      <w:pPr>
        <w:spacing w:line="360" w:lineRule="auto"/>
        <w:jc w:val="both"/>
        <w:rPr>
          <w:color w:val="000000"/>
        </w:rPr>
      </w:pPr>
    </w:p>
    <w:p w:rsidR="005420BD" w:rsidRPr="00D00814" w:rsidRDefault="00270477" w:rsidP="00270477">
      <w:pPr>
        <w:spacing w:line="360" w:lineRule="auto"/>
        <w:jc w:val="both"/>
        <w:rPr>
          <w:color w:val="000000"/>
        </w:rPr>
      </w:pPr>
      <w:r>
        <w:rPr>
          <w:color w:val="000000"/>
        </w:rPr>
        <w:t xml:space="preserve">¿Cuáles fueron las reformas en el sector eléctrico? ¿Cómo se vincula la política de competencia con la renovación del sistema eléctrico en Perú? </w:t>
      </w:r>
      <w:r w:rsidR="005420BD">
        <w:rPr>
          <w:color w:val="000000"/>
        </w:rPr>
        <w:t xml:space="preserve">¿Por qué la </w:t>
      </w:r>
      <w:r>
        <w:rPr>
          <w:color w:val="000000"/>
        </w:rPr>
        <w:t>herramienta de control previo</w:t>
      </w:r>
      <w:r w:rsidR="005420BD">
        <w:rPr>
          <w:color w:val="000000"/>
        </w:rPr>
        <w:t xml:space="preserve"> fue restringida al sector eléctrico? </w:t>
      </w:r>
      <w:r>
        <w:rPr>
          <w:color w:val="000000"/>
        </w:rPr>
        <w:t xml:space="preserve">¿Cuál es el marco legal que limita la acción de las autoridades de competencia y representa, al mismo tiempo, las obligaciones legales a los agentes del mercado? </w:t>
      </w:r>
      <w:r w:rsidR="005420BD">
        <w:rPr>
          <w:color w:val="000000"/>
        </w:rPr>
        <w:t xml:space="preserve">Estas serán las preguntas que se buscará resolver en la presente sección.  </w:t>
      </w:r>
    </w:p>
    <w:p w:rsidR="002355F1" w:rsidRPr="005420BD" w:rsidRDefault="005A478B" w:rsidP="005420BD">
      <w:pPr>
        <w:pStyle w:val="Ttulo1"/>
        <w:numPr>
          <w:ilvl w:val="1"/>
          <w:numId w:val="3"/>
        </w:numPr>
        <w:snapToGrid w:val="0"/>
        <w:spacing w:line="360" w:lineRule="auto"/>
        <w:rPr>
          <w:color w:val="000000"/>
          <w:sz w:val="24"/>
          <w:szCs w:val="24"/>
        </w:rPr>
      </w:pPr>
      <w:bookmarkStart w:id="12" w:name="_Toc47387720"/>
      <w:r w:rsidRPr="001F214F">
        <w:rPr>
          <w:color w:val="000000"/>
          <w:sz w:val="24"/>
          <w:szCs w:val="24"/>
        </w:rPr>
        <w:lastRenderedPageBreak/>
        <w:t>Reformas en el sector eléctrico</w:t>
      </w:r>
      <w:bookmarkEnd w:id="12"/>
    </w:p>
    <w:p w:rsidR="002355F1" w:rsidRDefault="005A478B" w:rsidP="00D936C4">
      <w:pPr>
        <w:spacing w:line="360" w:lineRule="auto"/>
        <w:jc w:val="both"/>
        <w:rPr>
          <w:color w:val="000000"/>
        </w:rPr>
      </w:pPr>
      <w:r>
        <w:rPr>
          <w:color w:val="000000"/>
        </w:rPr>
        <w:t xml:space="preserve">Durante los años noventa fue implementado en Perú un agresivo proceso de reformas estructurales que tuvo como principal objetivo la reducción de la intervención del Estado en la economía. En esa línea, el sector eléctrico peruano experimentó profundos cambios estructurales, pues pasó de ser una industria integrada por empresas estatales a ser una industria con activos de propiedad tanto pública como privada y desintegrada en sus actividades productivas como son la generación, transmisión y distribución. </w:t>
      </w:r>
    </w:p>
    <w:p w:rsidR="002355F1" w:rsidRDefault="002355F1" w:rsidP="00D936C4">
      <w:pPr>
        <w:spacing w:line="360" w:lineRule="auto"/>
        <w:jc w:val="both"/>
        <w:rPr>
          <w:color w:val="000000"/>
        </w:rPr>
      </w:pPr>
    </w:p>
    <w:p w:rsidR="005326B7" w:rsidRDefault="005A478B" w:rsidP="00D936C4">
      <w:pPr>
        <w:spacing w:line="360" w:lineRule="auto"/>
        <w:jc w:val="both"/>
        <w:rPr>
          <w:color w:val="000000"/>
        </w:rPr>
      </w:pPr>
      <w:r>
        <w:rPr>
          <w:color w:val="000000"/>
        </w:rPr>
        <w:t>El marco normativo representativo de dichos cambios estructurales en el sector eléctrico, comprendió el Decreto Ley 25844</w:t>
      </w:r>
      <w:r w:rsidR="005326B7">
        <w:rPr>
          <w:color w:val="000000"/>
        </w:rPr>
        <w:t xml:space="preserve"> o </w:t>
      </w:r>
      <w:r>
        <w:rPr>
          <w:color w:val="000000"/>
        </w:rPr>
        <w:t>Ley de Concesiones Eléctricas (en adelante, la LCE), su Reglamento, aprobado mediante Decreto Supremo 009-93-EM, la Ley 28832</w:t>
      </w:r>
      <w:r w:rsidR="005326B7">
        <w:rPr>
          <w:color w:val="000000"/>
        </w:rPr>
        <w:t xml:space="preserve"> o</w:t>
      </w:r>
      <w:r>
        <w:rPr>
          <w:color w:val="000000"/>
        </w:rPr>
        <w:t xml:space="preserve"> Ley para asegurar el desarrollo eficiente de la generación eléctrica, la Ley 26876</w:t>
      </w:r>
      <w:r w:rsidR="005326B7">
        <w:rPr>
          <w:color w:val="000000"/>
        </w:rPr>
        <w:t xml:space="preserve"> </w:t>
      </w:r>
      <w:r>
        <w:rPr>
          <w:color w:val="000000"/>
        </w:rPr>
        <w:t xml:space="preserve">y su Reglamento, aprobado mediante Decreto Supremo 017-98-ITINCI.  </w:t>
      </w:r>
    </w:p>
    <w:p w:rsidR="005326B7" w:rsidRDefault="005326B7" w:rsidP="00D936C4">
      <w:pPr>
        <w:spacing w:line="360" w:lineRule="auto"/>
        <w:jc w:val="both"/>
        <w:rPr>
          <w:color w:val="000000"/>
        </w:rPr>
      </w:pPr>
    </w:p>
    <w:p w:rsidR="002355F1" w:rsidRDefault="005326B7" w:rsidP="00D936C4">
      <w:pPr>
        <w:spacing w:line="360" w:lineRule="auto"/>
        <w:jc w:val="both"/>
        <w:rPr>
          <w:color w:val="000000"/>
        </w:rPr>
      </w:pPr>
      <w:r>
        <w:rPr>
          <w:color w:val="000000"/>
        </w:rPr>
        <w:t>Considerando que la propiedad y manejo del sector eléctrico, de manera previa a la reforma del sector se encontraba monopolizado de forma casi absoluta por las empresas públicas Electroperú S.A. y Electrolima S.A. (Santivañez y Sumar 2012:83), e</w:t>
      </w:r>
      <w:r w:rsidR="005A478B">
        <w:rPr>
          <w:color w:val="000000"/>
        </w:rPr>
        <w:t>ste marco permitió que se alcance la desintegración vertical de las actividades del sector eléctrico en generación, transmisión, distribución y comercialización</w:t>
      </w:r>
      <w:r>
        <w:rPr>
          <w:color w:val="000000"/>
        </w:rPr>
        <w:t>.</w:t>
      </w:r>
      <w:r w:rsidR="005A478B">
        <w:rPr>
          <w:color w:val="000000"/>
        </w:rPr>
        <w:t xml:space="preserve"> A través de la desintegración de los activos, fueron creadas empresas a las que les fueron otorgadas concesiones y autorizaciones para que operen en las actividades del sector y alguna de estas empresas fueron transferidas, como parte del proceso de privatización, al sector privado.</w:t>
      </w:r>
    </w:p>
    <w:p w:rsidR="002355F1" w:rsidRDefault="002355F1" w:rsidP="00D936C4">
      <w:pPr>
        <w:spacing w:line="360" w:lineRule="auto"/>
        <w:jc w:val="both"/>
        <w:rPr>
          <w:color w:val="000000"/>
        </w:rPr>
      </w:pPr>
    </w:p>
    <w:p w:rsidR="002355F1" w:rsidRDefault="00261165" w:rsidP="00D936C4">
      <w:pPr>
        <w:spacing w:line="360" w:lineRule="auto"/>
        <w:jc w:val="both"/>
        <w:rPr>
          <w:color w:val="000000"/>
        </w:rPr>
      </w:pPr>
      <w:r>
        <w:rPr>
          <w:color w:val="000000"/>
        </w:rPr>
        <w:t>En el marco de</w:t>
      </w:r>
      <w:r w:rsidR="005A478B">
        <w:rPr>
          <w:color w:val="000000"/>
        </w:rPr>
        <w:t xml:space="preserve">l traslado de las actividades del Estado empresario al sector privado, </w:t>
      </w:r>
      <w:r>
        <w:rPr>
          <w:color w:val="000000"/>
        </w:rPr>
        <w:t xml:space="preserve">también fue emprendida </w:t>
      </w:r>
      <w:r w:rsidR="005A478B">
        <w:rPr>
          <w:color w:val="000000"/>
        </w:rPr>
        <w:t>una reforma institucional y esta consistió, principalmente, en la creación de entidades</w:t>
      </w:r>
      <w:r>
        <w:rPr>
          <w:color w:val="000000"/>
        </w:rPr>
        <w:t xml:space="preserve"> y</w:t>
      </w:r>
      <w:r w:rsidR="005A478B">
        <w:rPr>
          <w:color w:val="000000"/>
        </w:rPr>
        <w:t xml:space="preserve"> la reorganización de las existentes. </w:t>
      </w:r>
      <w:r>
        <w:rPr>
          <w:color w:val="000000"/>
        </w:rPr>
        <w:t>P</w:t>
      </w:r>
      <w:r w:rsidR="005A478B">
        <w:rPr>
          <w:color w:val="000000"/>
        </w:rPr>
        <w:t xml:space="preserve">ara el sector eléctrico es importante resaltar la creación del Osinerg, como entidad responsable de la fiscalización y supervisión de las empresas de los sectores de electricidad e hidrocarburo y de forma posterior, de la fijación de tarifas de las actividades eléctricas reguladas. Con este nuevo agente en el sector, el Ministerio de Energía y Minas centró sus funciones en el otorgamiento de concesiones y en la promulgación de normas de carácter general sobre el sector. La reforma en el sector </w:t>
      </w:r>
      <w:r w:rsidR="005A478B">
        <w:rPr>
          <w:color w:val="000000"/>
        </w:rPr>
        <w:lastRenderedPageBreak/>
        <w:t xml:space="preserve">eléctrico, entonces, promovió el cambio de rol del Estado que con la nueva figura de los títulos habilitantes, pasó a ser un ente regulador. </w:t>
      </w:r>
    </w:p>
    <w:p w:rsidR="002355F1" w:rsidRDefault="002355F1" w:rsidP="00D936C4">
      <w:pPr>
        <w:spacing w:line="360" w:lineRule="auto"/>
        <w:jc w:val="both"/>
        <w:rPr>
          <w:color w:val="000000"/>
        </w:rPr>
      </w:pPr>
    </w:p>
    <w:p w:rsidR="002355F1" w:rsidRDefault="00261165" w:rsidP="00D936C4">
      <w:pPr>
        <w:spacing w:line="360" w:lineRule="auto"/>
        <w:jc w:val="both"/>
        <w:rPr>
          <w:color w:val="000000"/>
        </w:rPr>
      </w:pPr>
      <w:r>
        <w:rPr>
          <w:color w:val="000000"/>
        </w:rPr>
        <w:t xml:space="preserve">Desarrollando aún más el </w:t>
      </w:r>
      <w:r w:rsidR="005A478B">
        <w:rPr>
          <w:color w:val="000000"/>
        </w:rPr>
        <w:t>marco legal expuesto, es importante detallar lo siguiente</w:t>
      </w:r>
      <w:r>
        <w:rPr>
          <w:color w:val="000000"/>
        </w:rPr>
        <w:t xml:space="preserve"> sobre las actividades eléctricas</w:t>
      </w:r>
      <w:r w:rsidR="005A478B">
        <w:rPr>
          <w:color w:val="000000"/>
        </w:rPr>
        <w:t xml:space="preserve">: </w:t>
      </w:r>
    </w:p>
    <w:p w:rsidR="002355F1" w:rsidRDefault="002355F1" w:rsidP="00D936C4">
      <w:pPr>
        <w:spacing w:line="360" w:lineRule="auto"/>
        <w:jc w:val="both"/>
        <w:rPr>
          <w:color w:val="000000"/>
        </w:rPr>
      </w:pPr>
    </w:p>
    <w:p w:rsidR="002355F1" w:rsidRDefault="005A478B" w:rsidP="00D936C4">
      <w:pPr>
        <w:numPr>
          <w:ilvl w:val="0"/>
          <w:numId w:val="1"/>
        </w:numPr>
        <w:spacing w:line="360" w:lineRule="auto"/>
        <w:jc w:val="both"/>
        <w:rPr>
          <w:color w:val="000000"/>
        </w:rPr>
      </w:pPr>
      <w:r>
        <w:rPr>
          <w:color w:val="000000"/>
        </w:rPr>
        <w:t xml:space="preserve">La actividad de </w:t>
      </w:r>
      <w:r>
        <w:rPr>
          <w:color w:val="000000"/>
          <w:u w:val="single"/>
        </w:rPr>
        <w:t>generación</w:t>
      </w:r>
      <w:r>
        <w:rPr>
          <w:color w:val="000000"/>
        </w:rPr>
        <w:t xml:space="preserve"> comprende la producción de energía eléctrica que, de forma general, utiliza como principales insumos el carbón, petróleo, gas natural, biocombustible, el potencial hídrico, nuclear, entre otras</w:t>
      </w:r>
      <w:r w:rsidR="00C511A8">
        <w:rPr>
          <w:color w:val="000000"/>
        </w:rPr>
        <w:t xml:space="preserve"> (Osinergmin 2017: 28)</w:t>
      </w:r>
      <w:r>
        <w:rPr>
          <w:color w:val="000000"/>
        </w:rPr>
        <w:t>. En el caso peruano, la generación de energía eléctrica tiene como insumos principales el aprovechamiento de los recursos hídricos, térmicos y renovables.</w:t>
      </w:r>
    </w:p>
    <w:p w:rsidR="002355F1" w:rsidRDefault="002355F1" w:rsidP="00D936C4">
      <w:pPr>
        <w:spacing w:line="360" w:lineRule="auto"/>
        <w:ind w:left="720"/>
        <w:jc w:val="both"/>
        <w:rPr>
          <w:color w:val="000000"/>
        </w:rPr>
      </w:pPr>
    </w:p>
    <w:p w:rsidR="002355F1" w:rsidRDefault="005A478B" w:rsidP="00D936C4">
      <w:pPr>
        <w:numPr>
          <w:ilvl w:val="0"/>
          <w:numId w:val="1"/>
        </w:numPr>
        <w:spacing w:line="360" w:lineRule="auto"/>
        <w:jc w:val="both"/>
        <w:rPr>
          <w:color w:val="000000"/>
        </w:rPr>
      </w:pPr>
      <w:r>
        <w:rPr>
          <w:color w:val="000000"/>
        </w:rPr>
        <w:t xml:space="preserve">La actividad de </w:t>
      </w:r>
      <w:r>
        <w:rPr>
          <w:color w:val="000000"/>
          <w:u w:val="single"/>
        </w:rPr>
        <w:t>transmisión</w:t>
      </w:r>
      <w:r>
        <w:rPr>
          <w:color w:val="000000"/>
        </w:rPr>
        <w:t xml:space="preserve"> es aquella que conecta las fuentes de generación a las zonas de consumo a través de redes que dan lugar a sistemas eléctricos. En el Perú, el principal sistema eléctrico es el S</w:t>
      </w:r>
      <w:r w:rsidR="00261165">
        <w:rPr>
          <w:color w:val="000000"/>
        </w:rPr>
        <w:t>istema Eléctrico Interconectado Nacional</w:t>
      </w:r>
      <w:r>
        <w:rPr>
          <w:color w:val="000000"/>
        </w:rPr>
        <w:t xml:space="preserve"> pues interconecta al mayor número de empresas generadoras y usuarios en la costa, sierra y selva sur del país. </w:t>
      </w:r>
    </w:p>
    <w:p w:rsidR="002355F1" w:rsidRDefault="002355F1" w:rsidP="00D936C4">
      <w:pPr>
        <w:spacing w:line="360" w:lineRule="auto"/>
        <w:ind w:left="720"/>
        <w:jc w:val="both"/>
        <w:rPr>
          <w:color w:val="000000"/>
        </w:rPr>
      </w:pPr>
    </w:p>
    <w:p w:rsidR="002355F1" w:rsidRDefault="005A478B" w:rsidP="00D936C4">
      <w:pPr>
        <w:numPr>
          <w:ilvl w:val="0"/>
          <w:numId w:val="1"/>
        </w:numPr>
        <w:spacing w:line="360" w:lineRule="auto"/>
        <w:jc w:val="both"/>
        <w:rPr>
          <w:color w:val="000000"/>
        </w:rPr>
      </w:pPr>
      <w:r>
        <w:rPr>
          <w:color w:val="000000"/>
        </w:rPr>
        <w:t xml:space="preserve">La actividad de </w:t>
      </w:r>
      <w:r>
        <w:rPr>
          <w:color w:val="000000"/>
          <w:u w:val="single"/>
        </w:rPr>
        <w:t>distribución</w:t>
      </w:r>
      <w:r>
        <w:rPr>
          <w:color w:val="000000"/>
        </w:rPr>
        <w:t xml:space="preserve">, por su parte, atiende la provisión de electricidad a los consumidores finales en un área de concesión. La distribución y la venta minorista de electricidad, en el caso peruano, son provistas por una misma empresa; siendo así que la distribución y la comercialización se encuentran integradas. </w:t>
      </w:r>
    </w:p>
    <w:p w:rsidR="002355F1" w:rsidRDefault="002355F1" w:rsidP="00D936C4">
      <w:pPr>
        <w:spacing w:line="360" w:lineRule="auto"/>
        <w:rPr>
          <w:color w:val="000000"/>
        </w:rPr>
      </w:pPr>
    </w:p>
    <w:p w:rsidR="002355F1" w:rsidRDefault="005A478B" w:rsidP="00D936C4">
      <w:pPr>
        <w:spacing w:line="360" w:lineRule="auto"/>
        <w:jc w:val="both"/>
        <w:rPr>
          <w:color w:val="000000"/>
        </w:rPr>
      </w:pPr>
      <w:r>
        <w:rPr>
          <w:color w:val="000000"/>
        </w:rPr>
        <w:t xml:space="preserve">Asimismo, respecto a la segmentación de actividades, el esquema regulatorio también estableció diferencias entre las actividades de generación, transmisión, y distribución. </w:t>
      </w:r>
    </w:p>
    <w:p w:rsidR="002355F1" w:rsidRDefault="002355F1" w:rsidP="00D936C4">
      <w:pPr>
        <w:spacing w:line="360" w:lineRule="auto"/>
        <w:jc w:val="both"/>
        <w:rPr>
          <w:color w:val="000000"/>
        </w:rPr>
      </w:pPr>
    </w:p>
    <w:p w:rsidR="002355F1" w:rsidRDefault="005A478B" w:rsidP="00D936C4">
      <w:pPr>
        <w:numPr>
          <w:ilvl w:val="0"/>
          <w:numId w:val="8"/>
        </w:numPr>
        <w:spacing w:line="360" w:lineRule="auto"/>
        <w:jc w:val="both"/>
        <w:rPr>
          <w:color w:val="000000"/>
        </w:rPr>
      </w:pPr>
      <w:r>
        <w:rPr>
          <w:color w:val="000000"/>
        </w:rPr>
        <w:t xml:space="preserve">Las actividades de </w:t>
      </w:r>
      <w:r>
        <w:rPr>
          <w:color w:val="000000"/>
          <w:u w:val="single"/>
        </w:rPr>
        <w:t>transmisión</w:t>
      </w:r>
      <w:r>
        <w:rPr>
          <w:color w:val="000000"/>
        </w:rPr>
        <w:t xml:space="preserve"> y </w:t>
      </w:r>
      <w:r>
        <w:rPr>
          <w:color w:val="000000"/>
          <w:u w:val="single"/>
        </w:rPr>
        <w:t>distribución</w:t>
      </w:r>
      <w:r>
        <w:rPr>
          <w:color w:val="000000"/>
        </w:rPr>
        <w:t xml:space="preserve"> tienen características de monopolio natural, por lo que es deseable, en términos de eficiencia, que solo una empresa preste tales servicios en su zona de concesión. En consecuencia, </w:t>
      </w:r>
      <w:r w:rsidR="001166DF">
        <w:rPr>
          <w:color w:val="000000"/>
        </w:rPr>
        <w:t>se establece</w:t>
      </w:r>
      <w:r>
        <w:rPr>
          <w:color w:val="000000"/>
        </w:rPr>
        <w:t xml:space="preserve"> una regulación tarifaria para dichas actividades. </w:t>
      </w:r>
    </w:p>
    <w:p w:rsidR="002355F1" w:rsidRDefault="002355F1" w:rsidP="00D936C4">
      <w:pPr>
        <w:spacing w:line="360" w:lineRule="auto"/>
        <w:ind w:left="720"/>
        <w:jc w:val="both"/>
        <w:rPr>
          <w:color w:val="000000"/>
        </w:rPr>
      </w:pPr>
    </w:p>
    <w:p w:rsidR="001166DF" w:rsidRDefault="005A478B" w:rsidP="001166DF">
      <w:pPr>
        <w:numPr>
          <w:ilvl w:val="0"/>
          <w:numId w:val="8"/>
        </w:numPr>
        <w:spacing w:line="360" w:lineRule="auto"/>
        <w:jc w:val="both"/>
        <w:rPr>
          <w:color w:val="000000"/>
        </w:rPr>
      </w:pPr>
      <w:r>
        <w:rPr>
          <w:color w:val="000000"/>
        </w:rPr>
        <w:lastRenderedPageBreak/>
        <w:t xml:space="preserve">Por su parte, se considera que la actividad de </w:t>
      </w:r>
      <w:r>
        <w:rPr>
          <w:color w:val="000000"/>
          <w:u w:val="single"/>
        </w:rPr>
        <w:t>generación</w:t>
      </w:r>
      <w:r>
        <w:rPr>
          <w:color w:val="000000"/>
        </w:rPr>
        <w:t xml:space="preserve"> posee características que hacen deseable la existencia de competencia. Asimismo en la actividad de generación se establece un esquema regulatorio diferenciado por tipo de usuarios, donde los consumidores de energía pueden ser calificados como usuarios regulados o usuarios libres. </w:t>
      </w:r>
    </w:p>
    <w:p w:rsidR="001166DF" w:rsidRDefault="001166DF" w:rsidP="001166DF">
      <w:pPr>
        <w:pStyle w:val="Prrafodelista"/>
        <w:rPr>
          <w:color w:val="000000"/>
        </w:rPr>
      </w:pPr>
    </w:p>
    <w:p w:rsidR="002355F1" w:rsidRPr="001166DF" w:rsidRDefault="00D51A5A" w:rsidP="001166DF">
      <w:pPr>
        <w:spacing w:line="360" w:lineRule="auto"/>
        <w:ind w:left="720"/>
        <w:jc w:val="both"/>
        <w:rPr>
          <w:color w:val="000000"/>
        </w:rPr>
      </w:pPr>
      <w:r w:rsidRPr="001166DF">
        <w:rPr>
          <w:color w:val="000000"/>
        </w:rPr>
        <w:t xml:space="preserve">Conforme al detalle expuesto por Osinergmin en el documento </w:t>
      </w:r>
      <w:r w:rsidR="001166DF">
        <w:rPr>
          <w:color w:val="000000"/>
        </w:rPr>
        <w:t>“</w:t>
      </w:r>
      <w:r w:rsidRPr="001166DF">
        <w:rPr>
          <w:color w:val="000000"/>
        </w:rPr>
        <w:t>La Industria de la Electricidad en el Perú</w:t>
      </w:r>
      <w:r w:rsidR="001166DF">
        <w:rPr>
          <w:color w:val="000000"/>
        </w:rPr>
        <w:t>”</w:t>
      </w:r>
      <w:r w:rsidRPr="001166DF">
        <w:rPr>
          <w:color w:val="000000"/>
        </w:rPr>
        <w:t>, f</w:t>
      </w:r>
      <w:r w:rsidR="005A478B" w:rsidRPr="001166DF">
        <w:rPr>
          <w:color w:val="000000"/>
        </w:rPr>
        <w:t>orman parte del mercado de clientes libres los usuarios con una potencia contratada igual o superior a 2500 kW, estableciéndose la posibilidad de contratar</w:t>
      </w:r>
      <w:r w:rsidR="00246A8E" w:rsidRPr="001166DF">
        <w:rPr>
          <w:color w:val="000000"/>
        </w:rPr>
        <w:t>, con la base de precios,</w:t>
      </w:r>
      <w:r w:rsidR="005A478B" w:rsidRPr="001166DF">
        <w:rPr>
          <w:color w:val="000000"/>
        </w:rPr>
        <w:t xml:space="preserve"> de manera libre el suministro, ya sea con una empresa de distribución o directamente con una generadora</w:t>
      </w:r>
      <w:r w:rsidR="00246A8E" w:rsidRPr="001166DF">
        <w:rPr>
          <w:color w:val="000000"/>
        </w:rPr>
        <w:t>, estableciéndose un precio entre las partes</w:t>
      </w:r>
      <w:r w:rsidR="005A478B">
        <w:rPr>
          <w:color w:val="000000"/>
          <w:vertAlign w:val="superscript"/>
        </w:rPr>
        <w:footnoteReference w:id="9"/>
      </w:r>
      <w:r w:rsidR="005A478B" w:rsidRPr="001166DF">
        <w:rPr>
          <w:color w:val="000000"/>
        </w:rPr>
        <w:t>. Sobre el “mercado regulado” es aquel constituido por los clientes del Servicio Público de Electricidad con demandas de hasta 200 kW de potencia</w:t>
      </w:r>
      <w:r w:rsidR="00246A8E" w:rsidRPr="001166DF">
        <w:rPr>
          <w:color w:val="000000"/>
        </w:rPr>
        <w:t xml:space="preserve"> que son atendidos</w:t>
      </w:r>
      <w:r w:rsidR="005A478B" w:rsidRPr="001166DF">
        <w:rPr>
          <w:color w:val="000000"/>
        </w:rPr>
        <w:t xml:space="preserve"> de forma exclusiva y con tarifas reguladas, por las operadoras del área de distribución correspondiente.</w:t>
      </w:r>
      <w:r w:rsidR="005A478B">
        <w:rPr>
          <w:color w:val="000000"/>
          <w:vertAlign w:val="superscript"/>
        </w:rPr>
        <w:footnoteReference w:id="10"/>
      </w:r>
      <w:r w:rsidRPr="001166DF">
        <w:rPr>
          <w:color w:val="000000"/>
        </w:rPr>
        <w:t>(Osinergmin 2017: 142)</w:t>
      </w:r>
      <w:r w:rsidR="005A478B" w:rsidRPr="001166DF">
        <w:rPr>
          <w:color w:val="000000"/>
        </w:rPr>
        <w:t xml:space="preserve">. </w:t>
      </w:r>
    </w:p>
    <w:p w:rsidR="002355F1" w:rsidRDefault="005A478B" w:rsidP="00D936C4">
      <w:pPr>
        <w:pStyle w:val="Ttulo2"/>
        <w:numPr>
          <w:ilvl w:val="1"/>
          <w:numId w:val="3"/>
        </w:numPr>
        <w:spacing w:line="360" w:lineRule="auto"/>
        <w:rPr>
          <w:sz w:val="24"/>
          <w:szCs w:val="24"/>
        </w:rPr>
      </w:pPr>
      <w:bookmarkStart w:id="13" w:name="_heading=h.seq5e5rtpzw" w:colFirst="0" w:colLast="0"/>
      <w:bookmarkStart w:id="14" w:name="_Toc47387721"/>
      <w:bookmarkEnd w:id="13"/>
      <w:r>
        <w:rPr>
          <w:sz w:val="24"/>
          <w:szCs w:val="24"/>
        </w:rPr>
        <w:t>Política de Competencia</w:t>
      </w:r>
      <w:bookmarkEnd w:id="14"/>
    </w:p>
    <w:p w:rsidR="002355F1" w:rsidRDefault="005A478B" w:rsidP="00D936C4">
      <w:pPr>
        <w:spacing w:line="360" w:lineRule="auto"/>
        <w:jc w:val="both"/>
        <w:rPr>
          <w:color w:val="000000"/>
        </w:rPr>
      </w:pPr>
      <w:r>
        <w:rPr>
          <w:color w:val="000000"/>
        </w:rPr>
        <w:t>Ahora bien, para la promoción de la desintegración en el sector eléctrico, situación que representaba los valores constitucionalmente protegidos por el régimen de Economía Social de Mercado como la libre iniciativa privada y libertad de empresa, se buscó establecer una herramienta que proteja la competencia en este mercado ahora abierto al sector privado</w:t>
      </w:r>
      <w:r>
        <w:t xml:space="preserve">. </w:t>
      </w:r>
      <w:r>
        <w:rPr>
          <w:color w:val="000000"/>
        </w:rPr>
        <w:t>El Estado entonces, frente a este cambio estructural en la dinámica económic</w:t>
      </w:r>
      <w:r>
        <w:t>a</w:t>
      </w:r>
      <w:r>
        <w:rPr>
          <w:color w:val="000000"/>
        </w:rPr>
        <w:t>, asumió</w:t>
      </w:r>
      <w:r w:rsidR="000A7F18">
        <w:rPr>
          <w:color w:val="000000"/>
        </w:rPr>
        <w:t xml:space="preserve"> desde la norma constitucional</w:t>
      </w:r>
      <w:r>
        <w:rPr>
          <w:color w:val="000000"/>
        </w:rPr>
        <w:t xml:space="preserve"> la vigilancia de la libre competencia y lo materializó en el establecimiento de políticas y normas destinadas a proteger el funcionamiento eficiente del proceso competitivo para el bienestar de los consumidores. </w:t>
      </w:r>
    </w:p>
    <w:p w:rsidR="002355F1" w:rsidRDefault="002355F1" w:rsidP="00D936C4">
      <w:pPr>
        <w:spacing w:line="360" w:lineRule="auto"/>
        <w:jc w:val="both"/>
      </w:pPr>
    </w:p>
    <w:p w:rsidR="000F2A50" w:rsidRDefault="000F2A50" w:rsidP="00D936C4">
      <w:pPr>
        <w:spacing w:line="360" w:lineRule="auto"/>
        <w:jc w:val="both"/>
      </w:pPr>
      <w:r>
        <w:lastRenderedPageBreak/>
        <w:t xml:space="preserve">En particular, el sector eléctrico identifició en el </w:t>
      </w:r>
      <w:r w:rsidR="005D636C">
        <w:t xml:space="preserve">artículo 8 </w:t>
      </w:r>
      <w:r>
        <w:t xml:space="preserve">de la LCE </w:t>
      </w:r>
      <w:r w:rsidR="005A478B">
        <w:t xml:space="preserve">el establecimiento de un régimen de libertad de precios para los suministros que puedan efectuarse en condiciones de competencia (generación), y un sistema de precios regulados en aquellos suministros </w:t>
      </w:r>
      <w:r w:rsidR="005D636C">
        <w:t>de</w:t>
      </w:r>
      <w:r w:rsidR="005A478B">
        <w:t xml:space="preserve"> naturaleza monopolio natural, permitiendo asumir costos eficientes (transmisión y distribución)</w:t>
      </w:r>
      <w:r w:rsidR="00DF38FA" w:rsidRPr="00DF38FA">
        <w:rPr>
          <w:color w:val="000000"/>
          <w:vertAlign w:val="superscript"/>
        </w:rPr>
        <w:t xml:space="preserve"> </w:t>
      </w:r>
      <w:r w:rsidR="00DF38FA">
        <w:rPr>
          <w:color w:val="000000"/>
          <w:vertAlign w:val="superscript"/>
        </w:rPr>
        <w:footnoteReference w:id="11"/>
      </w:r>
      <w:r w:rsidR="005A478B">
        <w:t xml:space="preserve">. </w:t>
      </w:r>
      <w:r>
        <w:t xml:space="preserve">En las condiciones expuestas, es importante recordar que la </w:t>
      </w:r>
      <w:r w:rsidR="005A478B">
        <w:t>competencia</w:t>
      </w:r>
      <w:r w:rsidR="000A7F18">
        <w:t xml:space="preserve"> es</w:t>
      </w:r>
      <w:r w:rsidR="005A478B">
        <w:t xml:space="preserve"> aquella situación a tutelar donde se promueve la libre interacción de la oferta y la demanda </w:t>
      </w:r>
      <w:r>
        <w:t>y que fue reconocida como</w:t>
      </w:r>
      <w:r w:rsidR="005A478B">
        <w:t xml:space="preserve"> un valor fundamental de la Economía Social de Mercado</w:t>
      </w:r>
      <w:r>
        <w:t xml:space="preserve">. </w:t>
      </w:r>
    </w:p>
    <w:p w:rsidR="000F2A50" w:rsidRDefault="000F2A50" w:rsidP="00D936C4">
      <w:pPr>
        <w:spacing w:line="360" w:lineRule="auto"/>
        <w:jc w:val="both"/>
      </w:pPr>
    </w:p>
    <w:p w:rsidR="000F2A50" w:rsidRDefault="000F2A50" w:rsidP="00D936C4">
      <w:pPr>
        <w:spacing w:line="360" w:lineRule="auto"/>
        <w:jc w:val="both"/>
      </w:pPr>
      <w:r>
        <w:t>¿Por qué</w:t>
      </w:r>
      <w:r w:rsidR="004B1DC1">
        <w:t xml:space="preserve"> </w:t>
      </w:r>
      <w:r>
        <w:t>la competencia</w:t>
      </w:r>
      <w:r w:rsidR="004B1DC1">
        <w:t xml:space="preserve"> fue</w:t>
      </w:r>
      <w:r>
        <w:t xml:space="preserve"> reconocida como un valor fundamental en el nuevo sistema?</w:t>
      </w:r>
      <w:r w:rsidR="005A478B">
        <w:t xml:space="preserve"> </w:t>
      </w:r>
      <w:r>
        <w:t>Para el caso específico del sector eléctrico, este vivió una transformación particular: si bien fue abierto al sector privado, la naturaleza de determinadas actividades no permitía la libre concurrencia e</w:t>
      </w:r>
      <w:r w:rsidR="004B1DC1">
        <w:t>n</w:t>
      </w:r>
      <w:r>
        <w:t xml:space="preserve"> tiempo real</w:t>
      </w:r>
      <w:r w:rsidR="004B1DC1">
        <w:t xml:space="preserve"> para todas sus actividades</w:t>
      </w:r>
      <w:r>
        <w:t xml:space="preserve">. </w:t>
      </w:r>
      <w:r w:rsidR="004B1DC1">
        <w:t xml:space="preserve">Como ha sido detallado en la sección anterior, </w:t>
      </w:r>
      <w:r w:rsidR="00B67B1B">
        <w:t>s</w:t>
      </w:r>
      <w:r w:rsidR="004B1DC1">
        <w:t xml:space="preserve">ectores como la transmisión y distribución </w:t>
      </w:r>
      <w:r w:rsidR="00B67B1B">
        <w:t>debían desarrollarse como monopolios naturales y la generación en condiciones de competencia, esta especial circusntancia hacía posible que nos enfrentemos ante</w:t>
      </w:r>
      <w:r>
        <w:t xml:space="preserve"> una situación de</w:t>
      </w:r>
      <w:r w:rsidR="005A478B">
        <w:t xml:space="preserve"> disminución de agentes en el mercado</w:t>
      </w:r>
      <w:r>
        <w:t xml:space="preserve"> y </w:t>
      </w:r>
      <w:r w:rsidR="005A478B">
        <w:t>el aumento del grado de concentración</w:t>
      </w:r>
      <w:r w:rsidR="00B67B1B">
        <w:t xml:space="preserve"> a lo largo de la cadena del servicio de electricidad. Esta eventual concentración en pocos agentes,</w:t>
      </w:r>
      <w:r>
        <w:t xml:space="preserve"> haría que </w:t>
      </w:r>
      <w:r w:rsidR="00B67B1B">
        <w:t xml:space="preserve">sea mayor </w:t>
      </w:r>
      <w:r w:rsidR="005A478B">
        <w:t>“</w:t>
      </w:r>
      <w:r w:rsidR="00B67B1B">
        <w:t>(…)</w:t>
      </w:r>
      <w:r w:rsidR="005A478B">
        <w:t xml:space="preserve"> la probabilidad que las firmas establecidas en el mercado cambien su comportamiento estratégico con respecto a sus formas de competir en él” (Tello 2008, 15). </w:t>
      </w:r>
      <w:r>
        <w:t xml:space="preserve">Es decir, </w:t>
      </w:r>
      <w:r w:rsidR="00B67B1B">
        <w:t>en</w:t>
      </w:r>
      <w:r>
        <w:t xml:space="preserve"> mercados tan particulares como el eléctrico</w:t>
      </w:r>
      <w:r w:rsidR="00B67B1B">
        <w:t xml:space="preserve"> afectado por la segmentación de actividades y la característica de monopolio natural en alguno de los segmentos</w:t>
      </w:r>
      <w:r>
        <w:t xml:space="preserve">, sin perjuicio de la apertura al sector privado,  aún podrían </w:t>
      </w:r>
      <w:r w:rsidR="00B67B1B">
        <w:t>persistir</w:t>
      </w:r>
      <w:r>
        <w:t xml:space="preserve"> incentivos para que los agentes económicos actúen de forma coordinada y alineen sus beneficios, en perjuicio del proceso competitivo. </w:t>
      </w:r>
    </w:p>
    <w:p w:rsidR="000F2A50" w:rsidRDefault="000F2A50" w:rsidP="00D936C4">
      <w:pPr>
        <w:spacing w:line="360" w:lineRule="auto"/>
        <w:jc w:val="both"/>
      </w:pPr>
    </w:p>
    <w:p w:rsidR="002355F1" w:rsidRDefault="005A478B" w:rsidP="00D936C4">
      <w:pPr>
        <w:spacing w:line="360" w:lineRule="auto"/>
        <w:jc w:val="both"/>
      </w:pPr>
      <w:r>
        <w:t>Con ello en mente,</w:t>
      </w:r>
      <w:r w:rsidR="00B67B1B">
        <w:t xml:space="preserve"> una eventual afectación al proceso competitivo,</w:t>
      </w:r>
      <w:r>
        <w:t xml:space="preserve"> resulta fundamental traer a discusión el artículo 61 de la Constitución Política del Perú mediante el cual se sentaron las bases de la vigilancia de la competencia</w:t>
      </w:r>
      <w:r w:rsidR="000A7F18">
        <w:t xml:space="preserve"> así como los dispositivos legales que nacieron a partir del citado artículo.</w:t>
      </w:r>
    </w:p>
    <w:p w:rsidR="00EF0CA8" w:rsidRDefault="00EF0CA8" w:rsidP="00D936C4">
      <w:pPr>
        <w:spacing w:line="360" w:lineRule="auto"/>
        <w:jc w:val="both"/>
      </w:pPr>
    </w:p>
    <w:p w:rsidR="002355F1" w:rsidRDefault="005A478B" w:rsidP="00D936C4">
      <w:pPr>
        <w:numPr>
          <w:ilvl w:val="2"/>
          <w:numId w:val="3"/>
        </w:numPr>
        <w:spacing w:line="360" w:lineRule="auto"/>
        <w:jc w:val="both"/>
        <w:rPr>
          <w:b/>
        </w:rPr>
      </w:pPr>
      <w:r>
        <w:rPr>
          <w:b/>
        </w:rPr>
        <w:t>Base Constitucional</w:t>
      </w:r>
    </w:p>
    <w:p w:rsidR="002355F1" w:rsidRDefault="002355F1" w:rsidP="00D936C4">
      <w:pPr>
        <w:spacing w:line="360" w:lineRule="auto"/>
        <w:jc w:val="both"/>
        <w:rPr>
          <w:b/>
        </w:rPr>
      </w:pPr>
    </w:p>
    <w:p w:rsidR="00691B57" w:rsidRDefault="00A00684" w:rsidP="00D936C4">
      <w:pPr>
        <w:spacing w:line="360" w:lineRule="auto"/>
        <w:jc w:val="both"/>
      </w:pPr>
      <w:r>
        <w:t xml:space="preserve">En el capítulo del régimen económico, la la Constitución Política del Perú de 1993 (en adelante, la Constitución) reconoció que </w:t>
      </w:r>
      <w:r w:rsidR="00691B57">
        <w:t>la dinámica económica del país se regiría por los principios de una E</w:t>
      </w:r>
      <w:r w:rsidR="005A478B">
        <w:t>conomía Social de Mercado</w:t>
      </w:r>
      <w:r w:rsidR="00691B57">
        <w:t>. Este sistema</w:t>
      </w:r>
      <w:r w:rsidR="005A478B">
        <w:t xml:space="preserve"> tiene como objetivo que las fuerzas económicas existentes se orienten sin intervención del Estado hacia el equilibrio de la oferta y demanda en bienes y servicios. </w:t>
      </w:r>
    </w:p>
    <w:p w:rsidR="00691B57" w:rsidRDefault="00691B57" w:rsidP="00D936C4">
      <w:pPr>
        <w:spacing w:line="360" w:lineRule="auto"/>
        <w:jc w:val="both"/>
      </w:pPr>
    </w:p>
    <w:p w:rsidR="00691B57" w:rsidRDefault="00691B57" w:rsidP="00D936C4">
      <w:pPr>
        <w:spacing w:line="360" w:lineRule="auto"/>
        <w:jc w:val="both"/>
      </w:pPr>
      <w:r>
        <w:t>Teniendo en cuenta dicho marco,</w:t>
      </w:r>
      <w:r w:rsidR="005A478B">
        <w:t xml:space="preserve"> la Constitución</w:t>
      </w:r>
      <w:r w:rsidR="005D636C">
        <w:t xml:space="preserve"> </w:t>
      </w:r>
      <w:r w:rsidR="005A478B">
        <w:t>establec</w:t>
      </w:r>
      <w:r>
        <w:t xml:space="preserve">ió </w:t>
      </w:r>
      <w:r w:rsidR="005A478B">
        <w:t>como un principio fundamental del sistema económico vigente</w:t>
      </w:r>
      <w:r>
        <w:t xml:space="preserve"> la libre iniciativa privada,</w:t>
      </w:r>
      <w:r w:rsidR="005A478B">
        <w:t xml:space="preserve"> </w:t>
      </w:r>
      <w:r>
        <w:t xml:space="preserve">la </w:t>
      </w:r>
      <w:r w:rsidR="005A478B">
        <w:t xml:space="preserve">cual </w:t>
      </w:r>
      <w:r>
        <w:t xml:space="preserve">implica que los agentes </w:t>
      </w:r>
      <w:r w:rsidR="005A478B">
        <w:t xml:space="preserve">cuentan con  libertad de emprender las actividades económicas que más les convengan. </w:t>
      </w:r>
      <w:r>
        <w:t>Siguiendo la línea expuesta</w:t>
      </w:r>
      <w:r w:rsidR="005A478B">
        <w:t xml:space="preserve">, el Estado asumió el rol de viabilizar y garantizar las libertades a través del establecimiento de </w:t>
      </w:r>
      <w:r>
        <w:t xml:space="preserve">un </w:t>
      </w:r>
      <w:r w:rsidR="005A478B">
        <w:t xml:space="preserve">marco jurídico e institucional propio de promotor del mercado. </w:t>
      </w:r>
      <w:r>
        <w:t>E</w:t>
      </w:r>
      <w:r w:rsidR="005A478B">
        <w:t>l derecho de propiedad y la libertad de contratar son reconocidos como</w:t>
      </w:r>
      <w:r>
        <w:t xml:space="preserve"> otros de los</w:t>
      </w:r>
      <w:r w:rsidR="005A478B">
        <w:t xml:space="preserve"> pilares de una economía social de mercado</w:t>
      </w:r>
      <w:r>
        <w:t xml:space="preserve">, </w:t>
      </w:r>
      <w:r w:rsidR="005A478B">
        <w:t>pues a través de una adecuada asignación de derechos de propiedad (garantizada con la protección de la propiedad) y la libre transferencia de dichos derechos (protegida por la libertad de contratar) es posible alcanzar una mayor generación de riqueza y por consiguiente un aumento del bienestar social</w:t>
      </w:r>
      <w:r>
        <w:t xml:space="preserve"> en el marco del desarrollo económico. </w:t>
      </w:r>
    </w:p>
    <w:p w:rsidR="00691B57" w:rsidRDefault="00691B57" w:rsidP="00D936C4">
      <w:pPr>
        <w:spacing w:line="360" w:lineRule="auto"/>
        <w:jc w:val="both"/>
      </w:pPr>
    </w:p>
    <w:p w:rsidR="002355F1" w:rsidRDefault="00691B57" w:rsidP="00D936C4">
      <w:pPr>
        <w:spacing w:line="360" w:lineRule="auto"/>
        <w:jc w:val="both"/>
      </w:pPr>
      <w:r>
        <w:t>Ahora bien, p</w:t>
      </w:r>
      <w:r w:rsidR="005D636C">
        <w:t>ese</w:t>
      </w:r>
      <w:r w:rsidR="005A478B">
        <w:t xml:space="preserve"> a la relevancia de los derechos y libertades económicas </w:t>
      </w:r>
      <w:r>
        <w:t>en</w:t>
      </w:r>
      <w:r w:rsidR="005A478B">
        <w:t xml:space="preserve"> una economía social de mercado, </w:t>
      </w:r>
      <w:r>
        <w:t xml:space="preserve">era evidente que no podían ser ejercidos </w:t>
      </w:r>
      <w:r w:rsidR="005A478B">
        <w:t xml:space="preserve">de manera irrestricta </w:t>
      </w:r>
      <w:r>
        <w:t xml:space="preserve">y por ello, </w:t>
      </w:r>
      <w:r w:rsidR="005A478B">
        <w:t>la misma Constitución reconoc</w:t>
      </w:r>
      <w:r>
        <w:t>ió</w:t>
      </w:r>
      <w:r w:rsidR="005A478B">
        <w:t xml:space="preserve"> las limitaciones a </w:t>
      </w:r>
      <w:r w:rsidR="00135A7E">
        <w:t>su ejercicio.</w:t>
      </w:r>
      <w:r>
        <w:t xml:space="preserve"> Encontramos u</w:t>
      </w:r>
      <w:r w:rsidR="005A478B">
        <w:t>na limitación fundamental al ejercicio de los derechos y libertades en el  el principio rector de la libre competencia</w:t>
      </w:r>
      <w:r>
        <w:t xml:space="preserve">, con </w:t>
      </w:r>
      <w:r w:rsidR="005A478B">
        <w:t>sustento constitucional en el artículo 61 de la Constitución</w:t>
      </w:r>
      <w:r w:rsidR="00F13109">
        <w:rPr>
          <w:color w:val="000000"/>
          <w:vertAlign w:val="superscript"/>
        </w:rPr>
        <w:footnoteReference w:id="12"/>
      </w:r>
      <w:r>
        <w:t>. El mencionado artículo</w:t>
      </w:r>
      <w:r w:rsidR="005A478B">
        <w:t xml:space="preserve"> establece: “El Estado facilita y vigila la libre competencia. Combate </w:t>
      </w:r>
      <w:r w:rsidR="005A478B">
        <w:lastRenderedPageBreak/>
        <w:t>toda práctica que la limite y el abuso de posiciones dominantes o monopólicas. Ninguna ley ni concertación puede autorizar o establecer monopolios”. Entendemos</w:t>
      </w:r>
      <w:r>
        <w:t xml:space="preserve"> a </w:t>
      </w:r>
      <w:r w:rsidR="005A478B">
        <w:t xml:space="preserve">la libre competencia como aquella situación en la cual los agentes económicos, con el fin de obtener las preferencias de los consumidores en el mercado, rivalizan entre ellos. </w:t>
      </w:r>
    </w:p>
    <w:p w:rsidR="002355F1" w:rsidRDefault="002355F1" w:rsidP="00D936C4">
      <w:pPr>
        <w:spacing w:line="360" w:lineRule="auto"/>
        <w:jc w:val="both"/>
      </w:pPr>
    </w:p>
    <w:p w:rsidR="002355F1" w:rsidRDefault="00FC4162" w:rsidP="00D936C4">
      <w:pPr>
        <w:spacing w:line="360" w:lineRule="auto"/>
        <w:jc w:val="both"/>
        <w:rPr>
          <w:rFonts w:ascii="Droid Sans" w:eastAsia="Droid Sans" w:hAnsi="Droid Sans" w:cs="Droid Sans"/>
          <w:sz w:val="20"/>
          <w:szCs w:val="20"/>
        </w:rPr>
      </w:pPr>
      <w:r>
        <w:t>¿Cómo podemos identificar la libre competencia como una restricción si en el texto encontramos la palabra “libre”? Es una restricción porque representa un valor a resguardar y  que delimita toda acción en el sistema de libertades. Desarrollemos: l</w:t>
      </w:r>
      <w:r w:rsidR="005A478B">
        <w:t>a libre competencia</w:t>
      </w:r>
      <w:r>
        <w:t xml:space="preserve"> garantiza</w:t>
      </w:r>
      <w:r w:rsidR="005A478B">
        <w:t xml:space="preserve"> que exista para los consumidores y productores una libertad de elección en un mercado determinado por la oferta y la demanda. En un sistema de libre competencia, las empresas alcanzan ventajas competitivas como la mejora en los procesos o la superioridad tecnológica que genera eficacia y</w:t>
      </w:r>
      <w:r>
        <w:t>,</w:t>
      </w:r>
      <w:r w:rsidR="005A478B">
        <w:t xml:space="preserve"> por ende</w:t>
      </w:r>
      <w:r>
        <w:t>,</w:t>
      </w:r>
      <w:r w:rsidR="005A478B">
        <w:t xml:space="preserve"> </w:t>
      </w:r>
      <w:r w:rsidR="005D636C">
        <w:t>lleva a</w:t>
      </w:r>
      <w:r w:rsidR="005A478B">
        <w:t xml:space="preserve"> una eventual reducción de precios que puede permitir un mayor acceso a los consumidores e implica una probable ampliación de ganancias. Si no existiera</w:t>
      </w:r>
      <w:r>
        <w:t xml:space="preserve"> la</w:t>
      </w:r>
      <w:r w:rsidR="005A478B">
        <w:t xml:space="preserve"> libre competencia en el mercado como bien protegido constitucionalmente, los incentivos para lograr competitividad o desaparecerían o se verían disminuidos, siendo el principal perjudicado el consumidor que deber</w:t>
      </w:r>
      <w:r>
        <w:t>ía</w:t>
      </w:r>
      <w:r w:rsidR="005A478B">
        <w:t xml:space="preserve">, como principal consecuencia, aceptar precios más altos por una menor calidad. </w:t>
      </w:r>
    </w:p>
    <w:p w:rsidR="002355F1" w:rsidRDefault="002355F1" w:rsidP="00D936C4">
      <w:pPr>
        <w:spacing w:line="360" w:lineRule="auto"/>
        <w:jc w:val="both"/>
        <w:rPr>
          <w:rFonts w:ascii="Droid Sans" w:eastAsia="Droid Sans" w:hAnsi="Droid Sans" w:cs="Droid Sans"/>
          <w:sz w:val="20"/>
          <w:szCs w:val="20"/>
        </w:rPr>
      </w:pPr>
    </w:p>
    <w:p w:rsidR="002355F1" w:rsidRDefault="00FC4162" w:rsidP="00D936C4">
      <w:pPr>
        <w:spacing w:line="360" w:lineRule="auto"/>
        <w:jc w:val="both"/>
      </w:pPr>
      <w:r>
        <w:t>En</w:t>
      </w:r>
      <w:r w:rsidR="005A478B">
        <w:t xml:space="preserve"> el marco de libertades propio del régimen de economía social de mercado existe el deber positivo asignado al Estado de</w:t>
      </w:r>
      <w:r>
        <w:t xml:space="preserve"> la</w:t>
      </w:r>
      <w:r w:rsidR="005A478B">
        <w:t xml:space="preserve"> vigilancia de la libre competencia</w:t>
      </w:r>
      <w:r w:rsidR="005D636C">
        <w:t xml:space="preserve">. </w:t>
      </w:r>
      <w:r>
        <w:t>Reconocido constitucionalmente,</w:t>
      </w:r>
      <w:r w:rsidR="005D636C">
        <w:t xml:space="preserve"> </w:t>
      </w:r>
      <w:r w:rsidR="005A478B">
        <w:t>el Estado dio inicio al establecimiento de políticas y desarrollo normativo con el objetivo de proteger el proceso competitivo, así como la persecución de los actos anticompetitivos que realicen los agentes económicos en el mercado</w:t>
      </w:r>
      <w:r w:rsidR="00173ADE">
        <w:t xml:space="preserve"> y es así que </w:t>
      </w:r>
      <w:r w:rsidR="005A478B">
        <w:t xml:space="preserve">durante los noventa </w:t>
      </w:r>
      <w:r w:rsidR="0094752E">
        <w:t xml:space="preserve">fueron incorporadas al </w:t>
      </w:r>
      <w:r>
        <w:t xml:space="preserve">sistema </w:t>
      </w:r>
      <w:r w:rsidR="005A478B">
        <w:t>herramientas que permit</w:t>
      </w:r>
      <w:r>
        <w:t>ieron</w:t>
      </w:r>
      <w:r w:rsidR="005A478B">
        <w:t xml:space="preserve"> la protección del objetivo constitucional de defensa de la competencia</w:t>
      </w:r>
      <w:r w:rsidR="00173ADE">
        <w:t xml:space="preserve"> como</w:t>
      </w:r>
      <w:r w:rsidR="0036442E">
        <w:t xml:space="preserve"> el control de conductas y, para el caso particular del Informe, el control previo </w:t>
      </w:r>
      <w:r w:rsidR="00173ADE">
        <w:t xml:space="preserve">de concentraciones </w:t>
      </w:r>
      <w:r w:rsidR="0036442E">
        <w:t>en el sector eléctrico.</w:t>
      </w:r>
    </w:p>
    <w:p w:rsidR="002355F1" w:rsidRDefault="002355F1" w:rsidP="00D936C4">
      <w:pPr>
        <w:spacing w:line="360" w:lineRule="auto"/>
        <w:jc w:val="both"/>
      </w:pPr>
    </w:p>
    <w:p w:rsidR="002355F1" w:rsidRDefault="005A478B" w:rsidP="00D936C4">
      <w:pPr>
        <w:numPr>
          <w:ilvl w:val="2"/>
          <w:numId w:val="3"/>
        </w:numPr>
        <w:spacing w:line="360" w:lineRule="auto"/>
        <w:jc w:val="both"/>
        <w:rPr>
          <w:b/>
        </w:rPr>
      </w:pPr>
      <w:r>
        <w:rPr>
          <w:b/>
        </w:rPr>
        <w:t>Herramientas de la política de competencia</w:t>
      </w:r>
    </w:p>
    <w:p w:rsidR="002355F1" w:rsidRDefault="002355F1" w:rsidP="00D936C4">
      <w:pPr>
        <w:spacing w:line="360" w:lineRule="auto"/>
        <w:jc w:val="both"/>
      </w:pPr>
    </w:p>
    <w:p w:rsidR="002355F1" w:rsidRDefault="005D636C" w:rsidP="00D936C4">
      <w:pPr>
        <w:numPr>
          <w:ilvl w:val="8"/>
          <w:numId w:val="9"/>
        </w:numPr>
        <w:spacing w:line="360" w:lineRule="auto"/>
        <w:jc w:val="both"/>
        <w:rPr>
          <w:color w:val="000000"/>
        </w:rPr>
      </w:pPr>
      <w:r>
        <w:lastRenderedPageBreak/>
        <w:t>Durante</w:t>
      </w:r>
      <w:r w:rsidR="005A478B">
        <w:t xml:space="preserve"> los noventa, como parte de la reforma estructural se </w:t>
      </w:r>
      <w:r w:rsidR="005A478B">
        <w:rPr>
          <w:color w:val="000000"/>
        </w:rPr>
        <w:t>promovió un régimen de control de conductas, manifestado en un primero momento en la publicaci</w:t>
      </w:r>
      <w:r w:rsidR="005A478B">
        <w:t>ón d</w:t>
      </w:r>
      <w:r w:rsidR="005A478B">
        <w:rPr>
          <w:color w:val="000000"/>
        </w:rPr>
        <w:t>el Decreto Legislativo contra las Prácticas Monopólicas, Controlistas y Restrictivas de la Libre Competencia</w:t>
      </w:r>
      <w:r>
        <w:rPr>
          <w:color w:val="000000"/>
        </w:rPr>
        <w:t xml:space="preserve"> (en adelante, Decreto Legislativo 701)</w:t>
      </w:r>
      <w:r w:rsidR="005A478B">
        <w:t xml:space="preserve">. Este control de conductas estuvo dirigido a combatir comportamientos asociados a prácticas colusorias y abuso de posición de dominio que limite o restrinja de manera indebida la competencia. </w:t>
      </w:r>
    </w:p>
    <w:p w:rsidR="002355F1" w:rsidRDefault="002355F1" w:rsidP="00D936C4">
      <w:pPr>
        <w:pBdr>
          <w:top w:val="nil"/>
          <w:left w:val="nil"/>
          <w:bottom w:val="nil"/>
          <w:right w:val="nil"/>
          <w:between w:val="nil"/>
        </w:pBdr>
        <w:spacing w:line="360" w:lineRule="auto"/>
        <w:jc w:val="both"/>
      </w:pPr>
    </w:p>
    <w:p w:rsidR="002355F1" w:rsidRDefault="005A478B" w:rsidP="00D936C4">
      <w:pPr>
        <w:numPr>
          <w:ilvl w:val="8"/>
          <w:numId w:val="9"/>
        </w:numPr>
        <w:pBdr>
          <w:top w:val="nil"/>
          <w:left w:val="nil"/>
          <w:bottom w:val="nil"/>
          <w:right w:val="nil"/>
          <w:between w:val="nil"/>
        </w:pBdr>
        <w:spacing w:line="360" w:lineRule="auto"/>
        <w:jc w:val="both"/>
      </w:pPr>
      <w:r>
        <w:t xml:space="preserve">Ahora bien, la protección que busca dar la Constitución a la libre competencia no se restringe a las prácticas colusorias y el abuso de posición de dominio como parte de un control posterior sobre las conductas. Al respecto, el artículo 61 resiste tres secciones en su análisis, como lo desarrolla la Comisión de Libre Competencia en la Resolución 012-99-INDECOPI/CLC del 03 de diciembre de 1999. </w:t>
      </w:r>
    </w:p>
    <w:p w:rsidR="002355F1" w:rsidRDefault="002355F1" w:rsidP="00D936C4">
      <w:pPr>
        <w:numPr>
          <w:ilvl w:val="8"/>
          <w:numId w:val="9"/>
        </w:numPr>
        <w:pBdr>
          <w:top w:val="nil"/>
          <w:left w:val="nil"/>
          <w:bottom w:val="nil"/>
          <w:right w:val="nil"/>
          <w:between w:val="nil"/>
        </w:pBdr>
        <w:spacing w:line="360" w:lineRule="auto"/>
        <w:jc w:val="both"/>
      </w:pPr>
    </w:p>
    <w:p w:rsidR="00090A51" w:rsidRDefault="005A478B" w:rsidP="00D936C4">
      <w:pPr>
        <w:numPr>
          <w:ilvl w:val="8"/>
          <w:numId w:val="9"/>
        </w:numPr>
        <w:pBdr>
          <w:top w:val="nil"/>
          <w:left w:val="nil"/>
          <w:bottom w:val="nil"/>
          <w:right w:val="nil"/>
          <w:between w:val="nil"/>
        </w:pBdr>
        <w:spacing w:line="360" w:lineRule="auto"/>
        <w:jc w:val="both"/>
      </w:pPr>
      <w:r>
        <w:t xml:space="preserve">La Comisión de Libre Competencia, al sustentar la base constitucional de la política de competencia realiza un análisis del artículo 61 </w:t>
      </w:r>
      <w:r w:rsidR="000558E6">
        <w:t xml:space="preserve">de la Constitución </w:t>
      </w:r>
      <w:r w:rsidR="00324395">
        <w:t xml:space="preserve">en la Sección 5.2 de la Resolución 012-99-INDECOPI/CLC </w:t>
      </w:r>
      <w:r>
        <w:t xml:space="preserve">que es conveniente </w:t>
      </w:r>
      <w:r w:rsidR="000558E6">
        <w:t>resaltar</w:t>
      </w:r>
      <w:r>
        <w:t xml:space="preserve">. </w:t>
      </w:r>
    </w:p>
    <w:p w:rsidR="00090A51" w:rsidRDefault="00090A51" w:rsidP="00090A51">
      <w:pPr>
        <w:pStyle w:val="Prrafodelista"/>
      </w:pPr>
    </w:p>
    <w:p w:rsidR="00FB4C10" w:rsidRDefault="00505505" w:rsidP="00505505">
      <w:pPr>
        <w:numPr>
          <w:ilvl w:val="8"/>
          <w:numId w:val="9"/>
        </w:numPr>
        <w:pBdr>
          <w:top w:val="nil"/>
          <w:left w:val="nil"/>
          <w:bottom w:val="nil"/>
          <w:right w:val="nil"/>
          <w:between w:val="nil"/>
        </w:pBdr>
        <w:spacing w:line="360" w:lineRule="auto"/>
        <w:jc w:val="both"/>
      </w:pPr>
      <w:r>
        <w:t>En lo concerniente a la base de la política de competencia,</w:t>
      </w:r>
      <w:r w:rsidR="005A478B">
        <w:t xml:space="preserve"> </w:t>
      </w:r>
      <w:r>
        <w:t xml:space="preserve">la Comisión </w:t>
      </w:r>
      <w:r w:rsidR="005A478B">
        <w:t>indica que la segunda parte de</w:t>
      </w:r>
      <w:r>
        <w:t xml:space="preserve">l artículo 61 de la Constitución </w:t>
      </w:r>
      <w:r w:rsidR="005A478B">
        <w:t xml:space="preserve">suele ser la más reconocida </w:t>
      </w:r>
      <w:r>
        <w:t>dado que</w:t>
      </w:r>
      <w:r w:rsidR="005A478B">
        <w:t xml:space="preserve"> recoge expresamente el control de conductas</w:t>
      </w:r>
      <w:r>
        <w:t xml:space="preserve"> y reconoce como esencial el combate a las prácticas restrictivas y el abuso de posiciones dominantes o monopólicas. </w:t>
      </w:r>
      <w:r w:rsidR="00FB4C10">
        <w:t>Algo semejante ocurre con l</w:t>
      </w:r>
      <w:r w:rsidR="005A478B">
        <w:t>a tercera sección del artículo</w:t>
      </w:r>
      <w:r w:rsidR="00FB4C10">
        <w:t>, pues la Comisión reitera que el texto de la Constitución es muy explícito al</w:t>
      </w:r>
      <w:r w:rsidR="005A478B">
        <w:t xml:space="preserve"> limita</w:t>
      </w:r>
      <w:r w:rsidR="00FB4C10">
        <w:t>r</w:t>
      </w:r>
      <w:r w:rsidR="005A478B">
        <w:t xml:space="preserve"> el mantenimiento o imposición de  monopolios públicos o privados bajo disposición legal o por intervención del Estado. </w:t>
      </w:r>
    </w:p>
    <w:p w:rsidR="00FB4C10" w:rsidRDefault="00FB4C10" w:rsidP="00FB4C10">
      <w:pPr>
        <w:pStyle w:val="Prrafodelista"/>
      </w:pPr>
    </w:p>
    <w:p w:rsidR="002355F1" w:rsidRDefault="00FB4C10" w:rsidP="00FB4C10">
      <w:pPr>
        <w:numPr>
          <w:ilvl w:val="8"/>
          <w:numId w:val="9"/>
        </w:numPr>
        <w:pBdr>
          <w:top w:val="nil"/>
          <w:left w:val="nil"/>
          <w:bottom w:val="nil"/>
          <w:right w:val="nil"/>
          <w:between w:val="nil"/>
        </w:pBdr>
        <w:spacing w:line="360" w:lineRule="auto"/>
        <w:jc w:val="both"/>
      </w:pPr>
      <w:r>
        <w:t>Cabe preguntarnos ¿dónde reside el control previo de operaciones de concentración económica en el articulado desarrollado? La Comisión presta especiall atención a</w:t>
      </w:r>
      <w:r w:rsidR="005A478B">
        <w:t xml:space="preserve"> la primera parte del artículo “El Estado facilita y vigila la libre competencia”, </w:t>
      </w:r>
      <w:r>
        <w:t xml:space="preserve">la cual es considerada como una claúsula abierta o general </w:t>
      </w:r>
      <w:r w:rsidR="005A478B">
        <w:t xml:space="preserve">de mantener la competencia en el mercado, la cual puede incluir tanto la evaluación de la conducta de </w:t>
      </w:r>
      <w:r>
        <w:t>los agentes</w:t>
      </w:r>
      <w:r w:rsidR="005A478B">
        <w:t xml:space="preserve"> como la evaluación de la estructura del mercado</w:t>
      </w:r>
      <w:r>
        <w:t>. En ese sentido se comprende que el artículo 61</w:t>
      </w:r>
      <w:r w:rsidR="005A478B">
        <w:t xml:space="preserve"> también acoge a herramientas de tipo preventivo y no únicamente represivo.</w:t>
      </w:r>
    </w:p>
    <w:p w:rsidR="004A2FED" w:rsidRDefault="004A2FED" w:rsidP="00D936C4">
      <w:pPr>
        <w:numPr>
          <w:ilvl w:val="8"/>
          <w:numId w:val="9"/>
        </w:numPr>
        <w:pBdr>
          <w:top w:val="nil"/>
          <w:left w:val="nil"/>
          <w:bottom w:val="nil"/>
          <w:right w:val="nil"/>
          <w:between w:val="nil"/>
        </w:pBdr>
        <w:spacing w:line="360" w:lineRule="auto"/>
        <w:jc w:val="both"/>
      </w:pPr>
    </w:p>
    <w:p w:rsidR="002355F1" w:rsidRDefault="004A2FED" w:rsidP="00D936C4">
      <w:pPr>
        <w:numPr>
          <w:ilvl w:val="8"/>
          <w:numId w:val="9"/>
        </w:numPr>
        <w:pBdr>
          <w:top w:val="nil"/>
          <w:left w:val="nil"/>
          <w:bottom w:val="nil"/>
          <w:right w:val="nil"/>
          <w:between w:val="nil"/>
        </w:pBdr>
        <w:spacing w:line="360" w:lineRule="auto"/>
        <w:jc w:val="both"/>
      </w:pPr>
      <w:r>
        <w:t>E</w:t>
      </w:r>
      <w:r w:rsidR="005A478B">
        <w:t>n ejercicio de</w:t>
      </w:r>
      <w:r>
        <w:t>l</w:t>
      </w:r>
      <w:r w:rsidR="005A478B">
        <w:t xml:space="preserve"> deber de protección </w:t>
      </w:r>
      <w:r>
        <w:t>de la libre competencia, se decidió dar uso de una herramienta preventiva y establecer</w:t>
      </w:r>
      <w:r w:rsidR="005A478B">
        <w:t xml:space="preserve"> </w:t>
      </w:r>
      <w:r>
        <w:t>el</w:t>
      </w:r>
      <w:r w:rsidR="005A478B">
        <w:t xml:space="preserve"> régimen de control de estructuras o autorización previa de operaciones de concentración empresarial en el sector eléctrico, mediante la aprobación de la Ley 26876 y su Reglamento</w:t>
      </w:r>
      <w:r>
        <w:t>. El marco legal del control previo comprendía</w:t>
      </w:r>
      <w:r w:rsidR="005A478B">
        <w:t xml:space="preserve"> la evaluación de las operación de concentración en el sector eléctrico y detectar aquellas que puedan disminuir, dañar o impedir la competencia y la libre concurrencia en las actividades del mercado eléctrico. </w:t>
      </w:r>
    </w:p>
    <w:p w:rsidR="002355F1" w:rsidRDefault="002355F1" w:rsidP="00D936C4">
      <w:pPr>
        <w:numPr>
          <w:ilvl w:val="8"/>
          <w:numId w:val="9"/>
        </w:numPr>
        <w:pBdr>
          <w:top w:val="nil"/>
          <w:left w:val="nil"/>
          <w:bottom w:val="nil"/>
          <w:right w:val="nil"/>
          <w:between w:val="nil"/>
        </w:pBdr>
        <w:spacing w:line="360" w:lineRule="auto"/>
        <w:jc w:val="both"/>
      </w:pPr>
    </w:p>
    <w:p w:rsidR="002355F1" w:rsidRDefault="005A478B" w:rsidP="00D936C4">
      <w:pPr>
        <w:numPr>
          <w:ilvl w:val="8"/>
          <w:numId w:val="9"/>
        </w:numPr>
        <w:pBdr>
          <w:top w:val="nil"/>
          <w:left w:val="nil"/>
          <w:bottom w:val="nil"/>
          <w:right w:val="nil"/>
          <w:between w:val="nil"/>
        </w:pBdr>
        <w:spacing w:line="360" w:lineRule="auto"/>
        <w:jc w:val="both"/>
      </w:pPr>
      <w:r>
        <w:t>El régimen</w:t>
      </w:r>
      <w:r w:rsidR="004A2FED">
        <w:t xml:space="preserve"> creado</w:t>
      </w:r>
      <w:r>
        <w:t>, como parte de la libre competencia, represent</w:t>
      </w:r>
      <w:r w:rsidR="004A2FED">
        <w:t>ó</w:t>
      </w:r>
      <w:r>
        <w:t xml:space="preserve"> una limitación válida al ejercicio de la libre iniciativa privada</w:t>
      </w:r>
      <w:r w:rsidR="00D539AD">
        <w:t xml:space="preserve"> y </w:t>
      </w:r>
      <w:r>
        <w:t>libre contratación de los agentes involucrados en una operación, así como al derecho de propiedad</w:t>
      </w:r>
      <w:r w:rsidR="004A2FED">
        <w:t>. Sin duda alguna</w:t>
      </w:r>
      <w:r>
        <w:t xml:space="preserve"> someter la concreción de una operación en el mercado al pronunciamiento con carácter de autorización implica que los agentes involucrados en el sector eléctrico no cuentan con una libertad irrestricta de disposición de sus propiedades, sean acciones, activos, entre otros, con otros agentes que son parte del mercado o desean ingresar al sector eléctrico. </w:t>
      </w:r>
      <w:r w:rsidR="004A2FED">
        <w:t>A pesar del carácter restrictivo, debemos recordar que</w:t>
      </w:r>
      <w:r>
        <w:t xml:space="preserve"> esta limitación </w:t>
      </w:r>
      <w:r w:rsidR="004A2FED">
        <w:t>responde directamente</w:t>
      </w:r>
      <w:r>
        <w:t xml:space="preserve"> a la promoción de la competencia</w:t>
      </w:r>
      <w:r w:rsidR="004A2FED">
        <w:t xml:space="preserve"> la cual evita, </w:t>
      </w:r>
      <w:r>
        <w:t xml:space="preserve">en última instancia, </w:t>
      </w:r>
      <w:r w:rsidR="004A2FED">
        <w:t xml:space="preserve">la realización de </w:t>
      </w:r>
      <w:r>
        <w:t>actos que generen daños  al proceso competitivo en perjuicio de los usuarios.</w:t>
      </w:r>
    </w:p>
    <w:p w:rsidR="002355F1" w:rsidRDefault="00324395" w:rsidP="00D936C4">
      <w:pPr>
        <w:pStyle w:val="Ttulo2"/>
        <w:numPr>
          <w:ilvl w:val="1"/>
          <w:numId w:val="3"/>
        </w:numPr>
        <w:spacing w:line="360" w:lineRule="auto"/>
        <w:rPr>
          <w:color w:val="000000"/>
          <w:sz w:val="24"/>
          <w:szCs w:val="24"/>
        </w:rPr>
      </w:pPr>
      <w:bookmarkStart w:id="15" w:name="_Toc47387722"/>
      <w:r>
        <w:rPr>
          <w:color w:val="000000"/>
          <w:sz w:val="24"/>
          <w:szCs w:val="24"/>
        </w:rPr>
        <w:t xml:space="preserve">Herramienta preventiva de la competencia: </w:t>
      </w:r>
      <w:r w:rsidR="005A478B">
        <w:rPr>
          <w:color w:val="000000"/>
          <w:sz w:val="24"/>
          <w:szCs w:val="24"/>
        </w:rPr>
        <w:t>Ley 26876</w:t>
      </w:r>
      <w:bookmarkEnd w:id="15"/>
      <w:r>
        <w:rPr>
          <w:color w:val="000000"/>
          <w:sz w:val="24"/>
          <w:szCs w:val="24"/>
        </w:rPr>
        <w:t xml:space="preserve"> </w:t>
      </w:r>
    </w:p>
    <w:p w:rsidR="002355F1" w:rsidRDefault="005A478B" w:rsidP="00D936C4">
      <w:pPr>
        <w:spacing w:line="360" w:lineRule="auto"/>
        <w:jc w:val="both"/>
      </w:pPr>
      <w:r>
        <w:t>La Ley 26876, aquella que finalmente recoge el control de concentraciones en el sector eléctrico, fue aprobada el 19 de noviembre de 1997</w:t>
      </w:r>
      <w:r w:rsidR="00C76D90">
        <w:t>. L</w:t>
      </w:r>
      <w:r w:rsidR="00A2688C">
        <w:t>e fue</w:t>
      </w:r>
      <w:r>
        <w:t xml:space="preserve"> otorg</w:t>
      </w:r>
      <w:r w:rsidR="00A2688C">
        <w:t>ada</w:t>
      </w:r>
      <w:r>
        <w:t xml:space="preserve"> a la Comisión de  Libre Competencia del Indecopi la facultad de analizar y determinar la autorización de las operaciones</w:t>
      </w:r>
      <w:r w:rsidR="00A2688C">
        <w:t>,</w:t>
      </w:r>
      <w:r>
        <w:t xml:space="preserve"> siempre que</w:t>
      </w:r>
      <w:r w:rsidR="00A2688C">
        <w:t xml:space="preserve"> las mismas</w:t>
      </w:r>
      <w:r>
        <w:t xml:space="preserve"> no tengan como efecto disminuir, dañar o impedir la competencia y la libre concurrencia en las actividades de generación, transmisión o distribución de energía eléctrica o en los mercados relacionados</w:t>
      </w:r>
      <w:r w:rsidR="000738ED">
        <w:t xml:space="preserve">. Así, en caso las operaciones propuestas resulten perjudiciales al proceso, se reconoció también la facultad de la autoridad de </w:t>
      </w:r>
      <w:r>
        <w:t xml:space="preserve">denegar </w:t>
      </w:r>
      <w:r w:rsidR="000738ED">
        <w:t xml:space="preserve">la </w:t>
      </w:r>
      <w:r>
        <w:t xml:space="preserve">autorización o imponer condiciones </w:t>
      </w:r>
      <w:r w:rsidR="000738ED">
        <w:t>en e</w:t>
      </w:r>
      <w:r>
        <w:t xml:space="preserve">l ejercicio de la actividad. </w:t>
      </w:r>
    </w:p>
    <w:p w:rsidR="002355F1" w:rsidRDefault="002355F1" w:rsidP="00D936C4">
      <w:pPr>
        <w:spacing w:line="360" w:lineRule="auto"/>
        <w:jc w:val="both"/>
      </w:pPr>
    </w:p>
    <w:p w:rsidR="002355F1" w:rsidRDefault="005A478B" w:rsidP="00050E18">
      <w:pPr>
        <w:spacing w:line="360" w:lineRule="auto"/>
        <w:jc w:val="both"/>
      </w:pPr>
      <w:r>
        <w:lastRenderedPageBreak/>
        <w:t>Es importante resaltar que esta nueva disposición implicó la modificación del artículo 122 de la Ley de Concesiones Eléctricas</w:t>
      </w:r>
      <w:r w:rsidR="00C76D90">
        <w:t xml:space="preserve">. Si </w:t>
      </w:r>
      <w:r>
        <w:t xml:space="preserve">bien </w:t>
      </w:r>
      <w:r w:rsidR="00050E18">
        <w:t xml:space="preserve">el análisis histórico del artículo será desarrollado con posterioridad, es importante resaltar que, en un primer esfuerzo del legislador, </w:t>
      </w:r>
      <w:r>
        <w:t xml:space="preserve">la prohibición general </w:t>
      </w:r>
      <w:r w:rsidR="00050E18">
        <w:t xml:space="preserve">de la LCE </w:t>
      </w:r>
      <w:r>
        <w:t>era que las actividades de</w:t>
      </w:r>
      <w:r w:rsidR="00C76D90">
        <w:t xml:space="preserve">l sector eléctrico </w:t>
      </w:r>
      <w:r>
        <w:t>no podían ser ejercidas por un mismo titular</w:t>
      </w:r>
      <w:r w:rsidR="00050E18">
        <w:t>. Sin embargo, la redacción original del artículo 122 de la LCE</w:t>
      </w:r>
      <w:r w:rsidR="00DF38FA">
        <w:rPr>
          <w:color w:val="000000"/>
          <w:vertAlign w:val="superscript"/>
        </w:rPr>
        <w:footnoteReference w:id="13"/>
      </w:r>
      <w:r w:rsidR="00050E18">
        <w:t xml:space="preserve"> no resguardaba eficientemente la libre concurrencia en los mercados y permitía </w:t>
      </w:r>
      <w:r>
        <w:t xml:space="preserve">recaer en la situación previa a la reforma donde </w:t>
      </w:r>
      <w:r w:rsidR="00050E18">
        <w:t xml:space="preserve">existía una concentración de intereses en manos de un grupo económico determinado. Visto ese problema, fue necesaria una transición de la prohibición absoluta a un análisis caso por caso que implicaba la prohibición del desarrollo de la actividad solo si de la evaluación se desprendía un efecto negativo al proceso competitivo.  </w:t>
      </w:r>
    </w:p>
    <w:p w:rsidR="002355F1" w:rsidRDefault="002355F1" w:rsidP="00D936C4">
      <w:pPr>
        <w:spacing w:line="360" w:lineRule="auto"/>
        <w:jc w:val="both"/>
      </w:pPr>
    </w:p>
    <w:p w:rsidR="002355F1" w:rsidRDefault="005A478B" w:rsidP="00D936C4">
      <w:pPr>
        <w:spacing w:line="360" w:lineRule="auto"/>
        <w:jc w:val="both"/>
      </w:pPr>
      <w:r>
        <w:t>E</w:t>
      </w:r>
      <w:r w:rsidR="00050E18">
        <w:t xml:space="preserve">s esa perspectiva la que recogió </w:t>
      </w:r>
      <w:r>
        <w:t xml:space="preserve">el Proyecto de Ley </w:t>
      </w:r>
      <w:r>
        <w:rPr>
          <w:sz w:val="22"/>
          <w:szCs w:val="22"/>
        </w:rPr>
        <w:t>3100/97-CR</w:t>
      </w:r>
      <w:r>
        <w:t xml:space="preserve"> de la Comisión de Energía, Minas y Pesquería la cual consideró necesario dotar de mayor fuerza el propósito del artículo 122 de la Ley de Concesiones Eléctricas</w:t>
      </w:r>
      <w:r w:rsidR="00050E18">
        <w:t xml:space="preserve"> y evitar concentraciones de poder en la cadena del sector eléctrico que resultasen no beneficiosas al proceso competitivo y consumidores. </w:t>
      </w:r>
      <w:r w:rsidR="00EA52F5">
        <w:t xml:space="preserve">En función a lo expuesto, se planteó la necesidad de emplear </w:t>
      </w:r>
      <w:r>
        <w:t>herramientas de control que eviten que se concentraciones en el subsector eléctrico que distorsionen la competencia y la libre concurrencia</w:t>
      </w:r>
      <w:r w:rsidR="00EA52F5">
        <w:t xml:space="preserve"> y, como consecuencia, se decretó la necesidad de </w:t>
      </w:r>
      <w:r>
        <w:t>un control previo</w:t>
      </w:r>
      <w:r w:rsidR="00EA52F5">
        <w:t>, materializado</w:t>
      </w:r>
      <w:r>
        <w:t xml:space="preserve"> </w:t>
      </w:r>
      <w:r w:rsidR="00EA52F5">
        <w:t>en la</w:t>
      </w:r>
      <w:r>
        <w:t xml:space="preserve"> Ley 26876 (Congreso de la República 1997).</w:t>
      </w:r>
    </w:p>
    <w:p w:rsidR="002355F1" w:rsidRDefault="002355F1" w:rsidP="00D936C4">
      <w:pPr>
        <w:spacing w:line="360" w:lineRule="auto"/>
        <w:jc w:val="both"/>
      </w:pPr>
    </w:p>
    <w:p w:rsidR="002355F1" w:rsidRDefault="005A478B" w:rsidP="00D936C4">
      <w:pPr>
        <w:spacing w:line="360" w:lineRule="auto"/>
        <w:jc w:val="both"/>
      </w:pPr>
      <w:r>
        <w:t xml:space="preserve">Con el procedimiento de autorización previa, la autoridad de competencia era quién determinaría si la operación implicaría una disminución daño o restricción a la competencia y la libre concurrencia en los mercados de las actividades mencionadas o en los mercados relacionados y, solo tras ese análisis, podrían o no coincidir en un mismo titular los segmentos de dichas actividades eléctricas. </w:t>
      </w:r>
      <w:r w:rsidR="00845B92">
        <w:t>En concordancia,</w:t>
      </w:r>
      <w:r>
        <w:t xml:space="preserve"> la modificación</w:t>
      </w:r>
      <w:r w:rsidR="00845B92">
        <w:t xml:space="preserve"> del artículo 122 de la LCE</w:t>
      </w:r>
      <w:r w:rsidR="00DF38FA">
        <w:rPr>
          <w:color w:val="000000"/>
          <w:vertAlign w:val="superscript"/>
        </w:rPr>
        <w:footnoteReference w:id="14"/>
      </w:r>
      <w:r w:rsidR="00DF38FA">
        <w:t xml:space="preserve"> </w:t>
      </w:r>
      <w:r w:rsidR="00845B92">
        <w:t xml:space="preserve">contempló que </w:t>
      </w:r>
      <w:r>
        <w:t>no se</w:t>
      </w:r>
      <w:r w:rsidR="00845B92">
        <w:t xml:space="preserve"> encuentre</w:t>
      </w:r>
      <w:r>
        <w:t xml:space="preserve"> </w:t>
      </w:r>
      <w:r w:rsidR="00845B92">
        <w:t>prohibido</w:t>
      </w:r>
      <w:r>
        <w:t xml:space="preserve"> que un agente económico pueda estar </w:t>
      </w:r>
      <w:r>
        <w:lastRenderedPageBreak/>
        <w:t>presente en más de un sector</w:t>
      </w:r>
      <w:r w:rsidR="00845B92">
        <w:t>, siempre que</w:t>
      </w:r>
      <w:r>
        <w:t xml:space="preserve"> </w:t>
      </w:r>
      <w:r w:rsidR="00845B92">
        <w:t>la</w:t>
      </w:r>
      <w:r>
        <w:t xml:space="preserve"> operación haya sido aprobada por la autoridad de competencia</w:t>
      </w:r>
      <w:r w:rsidR="00845B92">
        <w:t>,</w:t>
      </w:r>
      <w:r>
        <w:t xml:space="preserve"> ya sea porque en su análisis se determinó que la operación traería eficiencias o, simplemente, no alteraría la dinámica del mercado.</w:t>
      </w:r>
    </w:p>
    <w:p w:rsidR="002355F1" w:rsidRDefault="002355F1" w:rsidP="00D936C4">
      <w:pPr>
        <w:spacing w:line="360" w:lineRule="auto"/>
        <w:jc w:val="both"/>
      </w:pPr>
    </w:p>
    <w:p w:rsidR="002355F1" w:rsidRDefault="00AD70BA" w:rsidP="00AD70BA">
      <w:pPr>
        <w:spacing w:line="360" w:lineRule="auto"/>
        <w:jc w:val="both"/>
        <w:rPr>
          <w:color w:val="000000"/>
        </w:rPr>
      </w:pPr>
      <w:r>
        <w:rPr>
          <w:color w:val="000000"/>
        </w:rPr>
        <w:t>Ahondando más sobre la Ley 26876 como parte de la política de competencia, e</w:t>
      </w:r>
      <w:r w:rsidR="005A478B">
        <w:rPr>
          <w:color w:val="000000"/>
        </w:rPr>
        <w:t xml:space="preserve">l artículo 1 de la </w:t>
      </w:r>
      <w:r>
        <w:rPr>
          <w:color w:val="000000"/>
        </w:rPr>
        <w:t>mencionada ley impone</w:t>
      </w:r>
      <w:r w:rsidR="005A478B">
        <w:rPr>
          <w:color w:val="000000"/>
        </w:rPr>
        <w:t xml:space="preserve"> la sujeción a un procedimiento de autorización previa </w:t>
      </w:r>
      <w:r>
        <w:rPr>
          <w:color w:val="000000"/>
        </w:rPr>
        <w:t xml:space="preserve">a todos </w:t>
      </w:r>
      <w:r w:rsidR="005A478B">
        <w:rPr>
          <w:color w:val="000000"/>
        </w:rPr>
        <w:t xml:space="preserve">los actos de concentración de tipo vertical u horizontal que se pretendan realizar en las actividades de generación, transmisión o distribución de energía eléctrica. </w:t>
      </w:r>
      <w:r>
        <w:rPr>
          <w:color w:val="000000"/>
        </w:rPr>
        <w:t xml:space="preserve">El </w:t>
      </w:r>
      <w:r w:rsidR="005A478B">
        <w:rPr>
          <w:color w:val="000000"/>
        </w:rPr>
        <w:t xml:space="preserve">objetivo </w:t>
      </w:r>
      <w:r>
        <w:rPr>
          <w:color w:val="000000"/>
        </w:rPr>
        <w:t xml:space="preserve">de dicho procedimiento, como ya ha sido expuesto líneas arriba, es </w:t>
      </w:r>
      <w:r w:rsidR="005A478B">
        <w:rPr>
          <w:color w:val="000000"/>
        </w:rPr>
        <w:t xml:space="preserve">evitar </w:t>
      </w:r>
      <w:r>
        <w:rPr>
          <w:color w:val="000000"/>
        </w:rPr>
        <w:t>la concreción de</w:t>
      </w:r>
      <w:r w:rsidR="005A478B">
        <w:rPr>
          <w:color w:val="000000"/>
        </w:rPr>
        <w:t xml:space="preserve"> operaciones que tengan el efecto de disminuir, dañar o impedir la competencia y la libre concurrencia en las referidas actividades</w:t>
      </w:r>
      <w:r>
        <w:rPr>
          <w:color w:val="000000"/>
        </w:rPr>
        <w:t xml:space="preserve">. Sin duda alguna, </w:t>
      </w:r>
      <w:r w:rsidR="005A478B">
        <w:rPr>
          <w:color w:val="000000"/>
        </w:rPr>
        <w:t xml:space="preserve">el principal objetivo del control de concentraciones empresariales en el sector eléctrico es evitar la concentración de poder de mercado en uno o pocos agentes que tenga como consecuencia el daño, disminución o pueda impedir la competencia y con ello, busca mantener o promover las condiciones de competencia existentes en el mercado hasta antes de la operación. Este objetivo o finalidad </w:t>
      </w:r>
      <w:r>
        <w:rPr>
          <w:color w:val="000000"/>
        </w:rPr>
        <w:t>también es observable en</w:t>
      </w:r>
      <w:r w:rsidR="005A478B">
        <w:rPr>
          <w:color w:val="000000"/>
        </w:rPr>
        <w:t xml:space="preserve"> otros sistemas jurídicos</w:t>
      </w:r>
      <w:r>
        <w:rPr>
          <w:color w:val="000000"/>
        </w:rPr>
        <w:t xml:space="preserve"> que cuentan con control previo de las concentraciones</w:t>
      </w:r>
      <w:r w:rsidR="005A478B">
        <w:rPr>
          <w:color w:val="000000"/>
        </w:rPr>
        <w:t xml:space="preserve">. </w:t>
      </w:r>
    </w:p>
    <w:p w:rsidR="002355F1" w:rsidRDefault="002355F1" w:rsidP="00D936C4">
      <w:pPr>
        <w:pBdr>
          <w:top w:val="nil"/>
          <w:left w:val="nil"/>
          <w:bottom w:val="nil"/>
          <w:right w:val="nil"/>
          <w:between w:val="nil"/>
        </w:pBdr>
        <w:spacing w:line="360" w:lineRule="auto"/>
        <w:jc w:val="both"/>
        <w:rPr>
          <w:color w:val="000000"/>
        </w:rPr>
      </w:pPr>
    </w:p>
    <w:p w:rsidR="002355F1" w:rsidRPr="005F392F" w:rsidRDefault="005A478B" w:rsidP="005F392F">
      <w:pPr>
        <w:spacing w:line="360" w:lineRule="auto"/>
        <w:jc w:val="both"/>
      </w:pPr>
      <w:r w:rsidRPr="005F392F">
        <w:t>Así, la Comunidad Europea, en el numeral 2 del Reglamento (CE) 139/2004</w:t>
      </w:r>
      <w:r w:rsidR="005F392F" w:rsidRPr="005F392F">
        <w:t xml:space="preserve"> o </w:t>
      </w:r>
      <w:r w:rsidR="005F392F" w:rsidRPr="005F392F">
        <w:rPr>
          <w:shd w:val="clear" w:color="auto" w:fill="FFFFFF"/>
        </w:rPr>
        <w:t>Reglamento comunitario de concentraciones (en adelante, Reglamento 139/2004)</w:t>
      </w:r>
      <w:r w:rsidRPr="005F392F">
        <w:t xml:space="preserve"> estableció como objetivo del régimen de control de fusiones que la competencia no sea distorsionada en el mercado común. En el </w:t>
      </w:r>
      <w:r w:rsidR="00E816EC">
        <w:t>artículo 2, numeral 3</w:t>
      </w:r>
      <w:r w:rsidRPr="005F392F">
        <w:t xml:space="preserve"> del mismo documento</w:t>
      </w:r>
      <w:r w:rsidR="005F392F">
        <w:t xml:space="preserve"> </w:t>
      </w:r>
      <w:r w:rsidR="00E816EC">
        <w:t xml:space="preserve">se precisó que aquellas </w:t>
      </w:r>
      <w:r w:rsidRPr="005F392F">
        <w:t>concentraciones que puedan obstaculizar de forma significativa la competencia efectiva en el mercado o en una parte importante del mismo, ya sea a través de la creación o refuerzo de una posición dominante</w:t>
      </w:r>
      <w:r w:rsidR="00E816EC">
        <w:t>, serán declaradas incompatibles con el mercado común</w:t>
      </w:r>
      <w:r w:rsidR="00E816EC">
        <w:rPr>
          <w:color w:val="000000"/>
          <w:vertAlign w:val="superscript"/>
        </w:rPr>
        <w:footnoteReference w:id="15"/>
      </w:r>
      <w:r w:rsidRPr="005F392F">
        <w:t>.</w:t>
      </w:r>
      <w:r w:rsidR="005F392F">
        <w:t xml:space="preserve"> </w:t>
      </w:r>
      <w:r w:rsidRPr="005F392F">
        <w:t xml:space="preserve">De igual </w:t>
      </w:r>
      <w:r w:rsidRPr="005F392F">
        <w:lastRenderedPageBreak/>
        <w:t xml:space="preserve">manera, en la sección 7 de la norma de control de fusiones empresariales en Estados Unidos, </w:t>
      </w:r>
      <w:r w:rsidRPr="005F392F">
        <w:rPr>
          <w:i/>
        </w:rPr>
        <w:t>Clayton Act</w:t>
      </w:r>
      <w:r w:rsidRPr="005F392F">
        <w:t xml:space="preserve">, </w:t>
      </w:r>
      <w:r w:rsidR="005F392F">
        <w:t>se encuentra establecida</w:t>
      </w:r>
      <w:r w:rsidRPr="005F392F">
        <w:t xml:space="preserve"> la prohibición las adquisiciones directas o indirectas de empresas, cuando el efecto de las operaciones puede ser lesivo para la competencia o tienda a crear un monopolio. </w:t>
      </w:r>
      <w:r w:rsidR="005F392F">
        <w:t>Más aún</w:t>
      </w:r>
      <w:r w:rsidRPr="005F392F">
        <w:t xml:space="preserve">, el documento </w:t>
      </w:r>
      <w:r w:rsidRPr="005F392F">
        <w:rPr>
          <w:i/>
        </w:rPr>
        <w:t>Horizontal Merger Guideline</w:t>
      </w:r>
      <w:r w:rsidRPr="005F392F">
        <w:t>s del Departamento de Justicia de los Estados Unidos y la Comisión Federal de Comercio señala que las operaciones de concentración no deberían permitir realzar el poder de mercado o crearlo y precisa que la política de fusiones tiene como objetivo principal  impedir</w:t>
      </w:r>
      <w:r w:rsidR="005F392F">
        <w:t xml:space="preserve"> los</w:t>
      </w:r>
      <w:r w:rsidRPr="005F392F">
        <w:t xml:space="preserve"> problemas de competencia desde su origen. </w:t>
      </w:r>
    </w:p>
    <w:p w:rsidR="002355F1" w:rsidRDefault="002355F1" w:rsidP="00D936C4">
      <w:pPr>
        <w:pBdr>
          <w:top w:val="nil"/>
          <w:left w:val="nil"/>
          <w:bottom w:val="nil"/>
          <w:right w:val="nil"/>
          <w:between w:val="nil"/>
        </w:pBdr>
        <w:spacing w:line="360" w:lineRule="auto"/>
        <w:jc w:val="both"/>
        <w:rPr>
          <w:color w:val="000000"/>
        </w:rPr>
      </w:pPr>
    </w:p>
    <w:p w:rsidR="002355F1" w:rsidRDefault="005A478B" w:rsidP="000F6F96">
      <w:pPr>
        <w:pBdr>
          <w:top w:val="nil"/>
          <w:left w:val="nil"/>
          <w:bottom w:val="nil"/>
          <w:right w:val="nil"/>
          <w:between w:val="nil"/>
        </w:pBdr>
        <w:spacing w:line="360" w:lineRule="auto"/>
        <w:jc w:val="both"/>
        <w:rPr>
          <w:color w:val="000000"/>
        </w:rPr>
      </w:pPr>
      <w:r>
        <w:rPr>
          <w:color w:val="000000"/>
        </w:rPr>
        <w:t>Continuando con la exposición de la Ley 26876, los artículos 2 y 3 de la Ley 26876 consideran</w:t>
      </w:r>
      <w:r w:rsidR="005F392F">
        <w:rPr>
          <w:color w:val="000000"/>
        </w:rPr>
        <w:t xml:space="preserve"> como</w:t>
      </w:r>
      <w:r>
        <w:rPr>
          <w:color w:val="000000"/>
        </w:rPr>
        <w:t xml:space="preserve"> actos de concentración empresarial a aquellas operaciones que permiten adquirir el control directo o indirecto de una empresa que desarrolla actividades de generación, transmisión o distribución en el mercado eléctrico peruano, listando para esos efectos acciones que comúnmente inciden en la estructura de control. P</w:t>
      </w:r>
      <w:r w:rsidR="00DC0828">
        <w:rPr>
          <w:color w:val="000000"/>
        </w:rPr>
        <w:t>or</w:t>
      </w:r>
      <w:r>
        <w:rPr>
          <w:color w:val="000000"/>
        </w:rPr>
        <w:t xml:space="preserve"> el artículo 3 de la Ley 26876 están obligados a presentar una solicitud de autorización previa los agentes que posean, de manera previa o posterior a la operación, de manera conjunta o separada, una participación igual o superior al 15% del mercado en el caso de concentraciones horizontales, o una participación igual o superior al 5%, en cualquiera de los mercados involucrados, en el caso de las concentraciones verticales.</w:t>
      </w:r>
      <w:r w:rsidR="000F6F96">
        <w:rPr>
          <w:color w:val="000000"/>
        </w:rPr>
        <w:t xml:space="preserve"> </w:t>
      </w:r>
      <w:r>
        <w:rPr>
          <w:color w:val="000000"/>
        </w:rPr>
        <w:t xml:space="preserve">Estos vienen a ser los alcances más importantes del procedimiento de autorización, siendo que otros aspectos como plazos, sujetos e información relevante para el procedimiento de autorización se encuentran desarrollados en el Reglamento de la Ley 26876. </w:t>
      </w:r>
    </w:p>
    <w:p w:rsidR="002355F1" w:rsidRPr="00EE68FD" w:rsidRDefault="005A478B" w:rsidP="00D936C4">
      <w:pPr>
        <w:spacing w:before="240" w:after="240" w:line="360" w:lineRule="auto"/>
        <w:jc w:val="both"/>
        <w:rPr>
          <w:color w:val="000000"/>
          <w:sz w:val="20"/>
          <w:szCs w:val="20"/>
        </w:rPr>
      </w:pPr>
      <w:r>
        <w:rPr>
          <w:color w:val="000000"/>
        </w:rPr>
        <w:t xml:space="preserve">Ahora bien, el artículo 6 de la Ley 26876 establece supuestos de infracción a la Ley 26876, y por tanto, al régimen de concentraciones.  </w:t>
      </w:r>
      <w:r w:rsidR="00EE68FD">
        <w:rPr>
          <w:color w:val="000000"/>
          <w:sz w:val="20"/>
          <w:szCs w:val="20"/>
        </w:rPr>
        <w:t xml:space="preserve"> </w:t>
      </w:r>
      <w:r>
        <w:rPr>
          <w:color w:val="000000"/>
        </w:rPr>
        <w:t xml:space="preserve">Con cargo a desarrollar este aspecto en la primera sección del informe, </w:t>
      </w:r>
      <w:r w:rsidR="000F6F96">
        <w:rPr>
          <w:color w:val="000000"/>
        </w:rPr>
        <w:t xml:space="preserve">es conveniente apuntar que </w:t>
      </w:r>
      <w:r>
        <w:rPr>
          <w:color w:val="000000"/>
        </w:rPr>
        <w:t xml:space="preserve">la Ley 26876 estuvo orientada a normar el procedimiento de autorización; empero, pese a </w:t>
      </w:r>
      <w:r w:rsidR="000F6F96">
        <w:rPr>
          <w:color w:val="000000"/>
        </w:rPr>
        <w:t>enumerar</w:t>
      </w:r>
      <w:r>
        <w:rPr>
          <w:color w:val="000000"/>
        </w:rPr>
        <w:t xml:space="preserve"> las conductas que constituían infracciones a su norma, ni la Ley 26876 ni el Reglamento de la Ley 26876 </w:t>
      </w:r>
      <w:r w:rsidR="000F6F96">
        <w:rPr>
          <w:color w:val="000000"/>
        </w:rPr>
        <w:t>ahondaron en el desarrollo de</w:t>
      </w:r>
      <w:r>
        <w:rPr>
          <w:color w:val="000000"/>
        </w:rPr>
        <w:t>l procedimiento administrativo sancionador</w:t>
      </w:r>
      <w:r w:rsidR="000F6F96">
        <w:rPr>
          <w:color w:val="000000"/>
        </w:rPr>
        <w:t xml:space="preserve"> en el marco del control previo. </w:t>
      </w:r>
      <w:r w:rsidR="00B76B00">
        <w:rPr>
          <w:color w:val="000000"/>
        </w:rPr>
        <w:t>Así, m</w:t>
      </w:r>
      <w:r>
        <w:rPr>
          <w:color w:val="000000"/>
        </w:rPr>
        <w:t>ás allá de la</w:t>
      </w:r>
      <w:r w:rsidR="000F6F96">
        <w:rPr>
          <w:color w:val="000000"/>
        </w:rPr>
        <w:t xml:space="preserve"> referencia a la</w:t>
      </w:r>
      <w:r>
        <w:rPr>
          <w:color w:val="000000"/>
        </w:rPr>
        <w:t xml:space="preserve"> autoridad competente y </w:t>
      </w:r>
      <w:r w:rsidR="000F6F96">
        <w:rPr>
          <w:color w:val="000000"/>
        </w:rPr>
        <w:t xml:space="preserve">a </w:t>
      </w:r>
      <w:r>
        <w:rPr>
          <w:color w:val="000000"/>
        </w:rPr>
        <w:t xml:space="preserve">las conductas consideradas como infracción, </w:t>
      </w:r>
      <w:r w:rsidR="00B76B00">
        <w:rPr>
          <w:color w:val="000000"/>
        </w:rPr>
        <w:t xml:space="preserve">no observamos mención a información como: </w:t>
      </w:r>
      <w:r>
        <w:rPr>
          <w:color w:val="000000"/>
        </w:rPr>
        <w:t xml:space="preserve">qué actos va a emitir por la entidad a cargo del inicio, instrucción  y sanción, </w:t>
      </w:r>
      <w:r w:rsidR="00B76B00">
        <w:rPr>
          <w:color w:val="000000"/>
        </w:rPr>
        <w:t xml:space="preserve">detalle de </w:t>
      </w:r>
      <w:r>
        <w:rPr>
          <w:color w:val="000000"/>
        </w:rPr>
        <w:t xml:space="preserve">las actuaciones a realizar por las partes </w:t>
      </w:r>
      <w:r>
        <w:rPr>
          <w:color w:val="000000"/>
        </w:rPr>
        <w:lastRenderedPageBreak/>
        <w:t xml:space="preserve">durante el </w:t>
      </w:r>
      <w:r w:rsidR="00B76B00">
        <w:rPr>
          <w:color w:val="000000"/>
        </w:rPr>
        <w:t>desarrollo del procedimiento</w:t>
      </w:r>
      <w:r>
        <w:rPr>
          <w:color w:val="000000"/>
        </w:rPr>
        <w:t xml:space="preserve">, plazos del procedimiento, criterios de graduación de la sanción, entre otros elementos relevantes en un procedimiento administrativo sancionador. </w:t>
      </w:r>
    </w:p>
    <w:p w:rsidR="00AF0AC7" w:rsidRPr="00E816EC" w:rsidRDefault="00B76B00" w:rsidP="00D936C4">
      <w:pPr>
        <w:spacing w:before="240" w:after="240" w:line="360" w:lineRule="auto"/>
        <w:jc w:val="both"/>
        <w:rPr>
          <w:color w:val="000000"/>
        </w:rPr>
      </w:pPr>
      <w:r>
        <w:rPr>
          <w:color w:val="000000"/>
        </w:rPr>
        <w:t>En relación a la idea anterior</w:t>
      </w:r>
      <w:r w:rsidR="005A478B">
        <w:rPr>
          <w:color w:val="000000"/>
        </w:rPr>
        <w:t>, la Ley 26876</w:t>
      </w:r>
      <w:r w:rsidR="00135A7E">
        <w:rPr>
          <w:color w:val="000000"/>
        </w:rPr>
        <w:t xml:space="preserve"> en su artículo 11</w:t>
      </w:r>
      <w:r w:rsidR="005A478B">
        <w:rPr>
          <w:color w:val="000000"/>
        </w:rPr>
        <w:t xml:space="preserve"> indicó que </w:t>
      </w:r>
      <w:r>
        <w:rPr>
          <w:color w:val="000000"/>
        </w:rPr>
        <w:t>aquello relacionado</w:t>
      </w:r>
      <w:r w:rsidR="005A478B">
        <w:rPr>
          <w:color w:val="000000"/>
        </w:rPr>
        <w:t xml:space="preserve"> al procedimiento administrativo sancionador deberá ser complementado por lo dispuesto por los Decretos Legislativos 701 y 807. </w:t>
      </w:r>
      <w:r>
        <w:rPr>
          <w:color w:val="000000"/>
        </w:rPr>
        <w:t>Es conveniente acotar que</w:t>
      </w:r>
      <w:r w:rsidR="005A478B">
        <w:rPr>
          <w:color w:val="000000"/>
        </w:rPr>
        <w:t>, si bien la Ley 26876 indicaba como referente para los procedimientos sancionadores lo dispuesto por los Decretos Legislativos 701 y 807, la norma de estructura de conductas así como de organización del Indecopi fueron derogadas en el año 2008 por la Ley de Represión de Conductas Anticompetitivas, Decreto Legislativo 1034, y, Ley de Organización y Funciones del Instituto Nacional de Defensa de la Competencia y Protección de la Propiedad Intelectual, Decreto Legislativo 1033. Estas nuevas normas eran,</w:t>
      </w:r>
      <w:r>
        <w:rPr>
          <w:color w:val="000000"/>
        </w:rPr>
        <w:t xml:space="preserve"> desde su entrada en vigencia y a la fecha de los eventos materia de este Informe, </w:t>
      </w:r>
      <w:r w:rsidR="005A478B">
        <w:rPr>
          <w:color w:val="000000"/>
        </w:rPr>
        <w:t>las indicadas a cubrir el vacío procesal en tema de procedimiento sancionador</w:t>
      </w:r>
      <w:r w:rsidR="00F65CEB">
        <w:rPr>
          <w:color w:val="000000"/>
        </w:rPr>
        <w:t>.</w:t>
      </w:r>
    </w:p>
    <w:p w:rsidR="00DD2137" w:rsidRDefault="00536177" w:rsidP="00536177">
      <w:pPr>
        <w:spacing w:before="240" w:after="240" w:line="360" w:lineRule="auto"/>
        <w:jc w:val="both"/>
        <w:rPr>
          <w:color w:val="000000"/>
        </w:rPr>
      </w:pPr>
      <w:r>
        <w:rPr>
          <w:color w:val="000000"/>
        </w:rPr>
        <w:t xml:space="preserve">De forma complementaria a las herramientas normativas ya expuestas, </w:t>
      </w:r>
      <w:r w:rsidR="005A478B">
        <w:rPr>
          <w:color w:val="000000"/>
        </w:rPr>
        <w:t>a la fecha de resolución del Caso materia del Informe, l</w:t>
      </w:r>
      <w:r w:rsidR="00DC0828">
        <w:rPr>
          <w:color w:val="000000"/>
        </w:rPr>
        <w:t xml:space="preserve">a </w:t>
      </w:r>
      <w:r w:rsidR="005A478B">
        <w:rPr>
          <w:color w:val="000000"/>
        </w:rPr>
        <w:t>Ley 27444</w:t>
      </w:r>
      <w:r>
        <w:rPr>
          <w:color w:val="000000"/>
        </w:rPr>
        <w:t xml:space="preserve"> o Ley del Procedimiento Administrativo General</w:t>
      </w:r>
      <w:r w:rsidR="005A478B">
        <w:rPr>
          <w:color w:val="000000"/>
        </w:rPr>
        <w:t xml:space="preserve">, modificada por el Decreto Legislativo 1029 del 24 de junio de 2008 </w:t>
      </w:r>
      <w:r>
        <w:rPr>
          <w:color w:val="000000"/>
        </w:rPr>
        <w:t xml:space="preserve">(en adelante, Ley 27444) </w:t>
      </w:r>
      <w:r w:rsidR="005A478B">
        <w:rPr>
          <w:color w:val="000000"/>
        </w:rPr>
        <w:t xml:space="preserve">se encontraba vigente y esta norma </w:t>
      </w:r>
      <w:r>
        <w:rPr>
          <w:color w:val="000000"/>
        </w:rPr>
        <w:t xml:space="preserve">general </w:t>
      </w:r>
      <w:r w:rsidR="005A478B">
        <w:rPr>
          <w:color w:val="000000"/>
        </w:rPr>
        <w:t xml:space="preserve">estableció pautas a todas las entidades de la Administración Pública </w:t>
      </w:r>
      <w:r>
        <w:rPr>
          <w:color w:val="000000"/>
        </w:rPr>
        <w:t xml:space="preserve">en </w:t>
      </w:r>
      <w:r w:rsidR="005A478B">
        <w:rPr>
          <w:color w:val="000000"/>
        </w:rPr>
        <w:t xml:space="preserve">la aplicación de sanciones a los administrados, </w:t>
      </w:r>
      <w:r>
        <w:rPr>
          <w:color w:val="000000"/>
        </w:rPr>
        <w:t xml:space="preserve">bajo el propósito </w:t>
      </w:r>
      <w:r w:rsidR="005A478B">
        <w:rPr>
          <w:color w:val="000000"/>
        </w:rPr>
        <w:t xml:space="preserve">que esta potestad sancionadora sea ejercida de forma previsible y no arbitraria. </w:t>
      </w:r>
      <w:r>
        <w:rPr>
          <w:color w:val="000000"/>
        </w:rPr>
        <w:t xml:space="preserve">En particular, </w:t>
      </w:r>
      <w:r w:rsidR="005A478B">
        <w:rPr>
          <w:color w:val="000000"/>
        </w:rPr>
        <w:t>el artículo 230 de la Ley 27444</w:t>
      </w:r>
      <w:r>
        <w:rPr>
          <w:color w:val="000000"/>
        </w:rPr>
        <w:t xml:space="preserve"> determinó</w:t>
      </w:r>
      <w:r w:rsidR="005A478B">
        <w:rPr>
          <w:color w:val="000000"/>
        </w:rPr>
        <w:t xml:space="preserve"> los principios de la potestad sancionadora de la Administración Pública</w:t>
      </w:r>
      <w:r w:rsidR="00B84853">
        <w:rPr>
          <w:color w:val="000000"/>
          <w:vertAlign w:val="superscript"/>
        </w:rPr>
        <w:footnoteReference w:id="16"/>
      </w:r>
      <w:r w:rsidR="005A478B">
        <w:rPr>
          <w:color w:val="000000"/>
        </w:rPr>
        <w:t xml:space="preserve">. </w:t>
      </w:r>
    </w:p>
    <w:p w:rsidR="00221E19" w:rsidRDefault="00DD2137" w:rsidP="00D936C4">
      <w:pPr>
        <w:spacing w:before="240" w:after="240" w:line="360" w:lineRule="auto"/>
        <w:jc w:val="both"/>
        <w:rPr>
          <w:color w:val="000000"/>
        </w:rPr>
      </w:pPr>
      <w:r>
        <w:rPr>
          <w:color w:val="000000"/>
        </w:rPr>
        <w:t xml:space="preserve">Es cierto que cada procedimiento sancionador llevado a cabo por una entidad del Estado atiende a una naturaleza especial y puede, por ese motivo, imponer condiciones no replicables </w:t>
      </w:r>
      <w:r>
        <w:rPr>
          <w:color w:val="000000"/>
        </w:rPr>
        <w:lastRenderedPageBreak/>
        <w:t>por todas las entidades del Estado</w:t>
      </w:r>
      <w:r w:rsidR="005A478B">
        <w:rPr>
          <w:color w:val="000000"/>
        </w:rPr>
        <w:t>; sin embargo,</w:t>
      </w:r>
      <w:r w:rsidR="00DC0828">
        <w:rPr>
          <w:color w:val="000000"/>
        </w:rPr>
        <w:t xml:space="preserve"> conforme al artículo 229.2 de la Ley 27444</w:t>
      </w:r>
      <w:r w:rsidR="005A478B">
        <w:rPr>
          <w:color w:val="000000"/>
        </w:rPr>
        <w:t xml:space="preserve"> estas </w:t>
      </w:r>
      <w:r>
        <w:rPr>
          <w:color w:val="000000"/>
        </w:rPr>
        <w:t xml:space="preserve">condiciones particulares </w:t>
      </w:r>
      <w:r w:rsidR="005A478B">
        <w:rPr>
          <w:color w:val="000000"/>
        </w:rPr>
        <w:t>no podrán ser menos a favorables a los administrados</w:t>
      </w:r>
      <w:r w:rsidR="00B84853">
        <w:rPr>
          <w:color w:val="000000"/>
          <w:vertAlign w:val="superscript"/>
        </w:rPr>
        <w:footnoteReference w:id="17"/>
      </w:r>
      <w:r w:rsidR="005A478B">
        <w:rPr>
          <w:color w:val="000000"/>
        </w:rPr>
        <w:t xml:space="preserve">. </w:t>
      </w:r>
    </w:p>
    <w:p w:rsidR="002355F1" w:rsidRDefault="005A478B" w:rsidP="00221E19">
      <w:pPr>
        <w:spacing w:before="240" w:after="240" w:line="360" w:lineRule="auto"/>
        <w:jc w:val="both"/>
        <w:rPr>
          <w:color w:val="000000"/>
        </w:rPr>
      </w:pPr>
      <w:r>
        <w:rPr>
          <w:color w:val="000000"/>
        </w:rPr>
        <w:t xml:space="preserve">Teniendo en consideración, entonces, que contamos con una norma de aplicación general a los procedimientos, resulta importante incluirla en el marco legal, en tanto su aplicación servirá tanto como un mínimo, así como un régimen que complementará </w:t>
      </w:r>
      <w:r w:rsidR="00DD2137">
        <w:rPr>
          <w:color w:val="000000"/>
        </w:rPr>
        <w:t>aquello que</w:t>
      </w:r>
      <w:r w:rsidR="00341014">
        <w:rPr>
          <w:color w:val="000000"/>
        </w:rPr>
        <w:t xml:space="preserve"> no es observable en la</w:t>
      </w:r>
      <w:r>
        <w:rPr>
          <w:color w:val="000000"/>
        </w:rPr>
        <w:t xml:space="preserve"> normativa </w:t>
      </w:r>
      <w:r w:rsidR="00341014">
        <w:rPr>
          <w:color w:val="000000"/>
        </w:rPr>
        <w:t>particular</w:t>
      </w:r>
      <w:r>
        <w:rPr>
          <w:color w:val="000000"/>
        </w:rPr>
        <w:t>.</w:t>
      </w:r>
    </w:p>
    <w:p w:rsidR="002355F1" w:rsidRDefault="005A478B" w:rsidP="00D936C4">
      <w:pPr>
        <w:pStyle w:val="Ttulo1"/>
        <w:numPr>
          <w:ilvl w:val="0"/>
          <w:numId w:val="3"/>
        </w:numPr>
        <w:spacing w:line="360" w:lineRule="auto"/>
        <w:rPr>
          <w:color w:val="000000"/>
          <w:sz w:val="24"/>
          <w:szCs w:val="24"/>
        </w:rPr>
      </w:pPr>
      <w:bookmarkStart w:id="16" w:name="_Toc47387723"/>
      <w:r>
        <w:rPr>
          <w:color w:val="000000"/>
          <w:sz w:val="24"/>
          <w:szCs w:val="24"/>
        </w:rPr>
        <w:t>Análisis de los problemas jurídicos.</w:t>
      </w:r>
      <w:bookmarkEnd w:id="16"/>
    </w:p>
    <w:p w:rsidR="002355F1" w:rsidRDefault="00545E89" w:rsidP="00D936C4">
      <w:pPr>
        <w:spacing w:line="360" w:lineRule="auto"/>
        <w:jc w:val="both"/>
        <w:rPr>
          <w:color w:val="000000"/>
        </w:rPr>
      </w:pPr>
      <w:r>
        <w:rPr>
          <w:color w:val="000000"/>
        </w:rPr>
        <w:t>Recapitulando, en el año 2009 se llevó a cabo l</w:t>
      </w:r>
      <w:r w:rsidR="005A478B">
        <w:rPr>
          <w:color w:val="000000"/>
        </w:rPr>
        <w:t>a transferencia de acciones entre Enel y Acciona</w:t>
      </w:r>
      <w:r w:rsidR="00E07E1B">
        <w:rPr>
          <w:color w:val="000000"/>
        </w:rPr>
        <w:t>, de forma previa al pronunciamiento</w:t>
      </w:r>
      <w:r w:rsidR="005A478B">
        <w:rPr>
          <w:color w:val="000000"/>
        </w:rPr>
        <w:t xml:space="preserve"> de la Comisión de Defensa de la Libre Competencia</w:t>
      </w:r>
      <w:r>
        <w:rPr>
          <w:color w:val="000000"/>
        </w:rPr>
        <w:t>.</w:t>
      </w:r>
      <w:r w:rsidR="005A478B">
        <w:rPr>
          <w:color w:val="000000"/>
        </w:rPr>
        <w:t xml:space="preserve"> Esta</w:t>
      </w:r>
      <w:r w:rsidR="00C031C0">
        <w:rPr>
          <w:color w:val="000000"/>
        </w:rPr>
        <w:t xml:space="preserve"> conducta de Enel, realizada en el marco del procedimiento de autorización previa impulsado por Enel frente a la misma Comisión, configuraba un supuesto de infracción a la Ley 26876 y </w:t>
      </w:r>
      <w:r w:rsidR="00F25376">
        <w:rPr>
          <w:color w:val="000000"/>
        </w:rPr>
        <w:t xml:space="preserve">motivó el inicio de un procedimiento administrativo sancionador por la Resolución de </w:t>
      </w:r>
      <w:r w:rsidR="00D558FE">
        <w:rPr>
          <w:color w:val="000000"/>
        </w:rPr>
        <w:t>I</w:t>
      </w:r>
      <w:r w:rsidR="00F25376">
        <w:rPr>
          <w:color w:val="000000"/>
        </w:rPr>
        <w:t>nicio 051-2009/CLC-INDECOPI del 9 de julio de 2009</w:t>
      </w:r>
      <w:r w:rsidR="005A478B">
        <w:rPr>
          <w:color w:val="000000"/>
        </w:rPr>
        <w:t xml:space="preserve">. </w:t>
      </w:r>
    </w:p>
    <w:p w:rsidR="002355F1" w:rsidRDefault="002355F1" w:rsidP="00D936C4">
      <w:pPr>
        <w:spacing w:line="360" w:lineRule="auto"/>
        <w:jc w:val="both"/>
      </w:pPr>
    </w:p>
    <w:p w:rsidR="002355F1" w:rsidRDefault="005A478B" w:rsidP="00D936C4">
      <w:pPr>
        <w:spacing w:line="360" w:lineRule="auto"/>
        <w:jc w:val="both"/>
        <w:rPr>
          <w:color w:val="000000"/>
        </w:rPr>
      </w:pPr>
      <w:r>
        <w:rPr>
          <w:color w:val="000000"/>
        </w:rPr>
        <w:t xml:space="preserve">Como </w:t>
      </w:r>
      <w:r w:rsidR="00D558FE">
        <w:rPr>
          <w:color w:val="000000"/>
        </w:rPr>
        <w:t>se anotó en la</w:t>
      </w:r>
      <w:r>
        <w:rPr>
          <w:color w:val="000000"/>
        </w:rPr>
        <w:t xml:space="preserve"> sección precedente, al ser la Ley 26876 una norma dirigida a establecer las pautas del procedimiento de autorización previa y no una norma que contemple disposiciones relativas al procedimiento administrativo sancionador que derive de las infracciones a la Ley 26876, la materia administrativa sancionadora </w:t>
      </w:r>
      <w:r w:rsidR="00D558FE">
        <w:rPr>
          <w:color w:val="000000"/>
        </w:rPr>
        <w:t xml:space="preserve">del Informe tuvo </w:t>
      </w:r>
      <w:r>
        <w:rPr>
          <w:color w:val="000000"/>
        </w:rPr>
        <w:t>como marco legal la Ley de Defensa de la Competencia (</w:t>
      </w:r>
      <w:r w:rsidR="00F25376">
        <w:rPr>
          <w:color w:val="000000"/>
        </w:rPr>
        <w:t xml:space="preserve">en adelante, </w:t>
      </w:r>
      <w:r>
        <w:rPr>
          <w:color w:val="000000"/>
        </w:rPr>
        <w:t>Decreto Legislativo 1034) y la Ley 27444</w:t>
      </w:r>
      <w:r w:rsidR="00D558FE">
        <w:rPr>
          <w:color w:val="000000"/>
        </w:rPr>
        <w:t xml:space="preserve">. </w:t>
      </w:r>
    </w:p>
    <w:p w:rsidR="002355F1" w:rsidRDefault="002355F1" w:rsidP="00D936C4">
      <w:pPr>
        <w:spacing w:line="360" w:lineRule="auto"/>
        <w:jc w:val="both"/>
        <w:rPr>
          <w:color w:val="000000"/>
        </w:rPr>
      </w:pPr>
    </w:p>
    <w:p w:rsidR="002355F1" w:rsidRPr="00C031C0" w:rsidRDefault="00C031C0" w:rsidP="00D936C4">
      <w:pPr>
        <w:spacing w:line="360" w:lineRule="auto"/>
        <w:jc w:val="both"/>
      </w:pPr>
      <w:r>
        <w:rPr>
          <w:color w:val="000000"/>
        </w:rPr>
        <w:t>E</w:t>
      </w:r>
      <w:r w:rsidR="005A478B">
        <w:rPr>
          <w:color w:val="000000"/>
        </w:rPr>
        <w:t xml:space="preserve">n primera instancia, </w:t>
      </w:r>
      <w:r w:rsidR="00F25376">
        <w:rPr>
          <w:color w:val="000000"/>
        </w:rPr>
        <w:t xml:space="preserve">mediante Resolución de sanción de primera instancia 001-2010/CLC-INDECOPI </w:t>
      </w:r>
      <w:r w:rsidR="005A478B">
        <w:rPr>
          <w:color w:val="000000"/>
        </w:rPr>
        <w:t xml:space="preserve">declaró responsable a Enel por la comisión de la infracción e impuso </w:t>
      </w:r>
      <w:r w:rsidR="00D558FE">
        <w:rPr>
          <w:color w:val="000000"/>
        </w:rPr>
        <w:t>al agente económico</w:t>
      </w:r>
      <w:r w:rsidR="005A478B">
        <w:rPr>
          <w:color w:val="000000"/>
        </w:rPr>
        <w:t xml:space="preserve"> una multa consistente en 1000 U</w:t>
      </w:r>
      <w:r w:rsidR="00D558FE">
        <w:rPr>
          <w:color w:val="000000"/>
        </w:rPr>
        <w:t xml:space="preserve">IT. En la motivación de su decisión, la Comisión </w:t>
      </w:r>
      <w:r w:rsidR="00D558FE">
        <w:rPr>
          <w:color w:val="000000"/>
        </w:rPr>
        <w:lastRenderedPageBreak/>
        <w:t xml:space="preserve">expuso que </w:t>
      </w:r>
      <w:r w:rsidR="00F25376">
        <w:rPr>
          <w:color w:val="000000"/>
        </w:rPr>
        <w:t xml:space="preserve">la transferencia de acciones implicó el cambio inmediato del control de Enel sobre Endesa y, por tanto, </w:t>
      </w:r>
      <w:r w:rsidR="00D558FE">
        <w:rPr>
          <w:color w:val="000000"/>
        </w:rPr>
        <w:t>la alteración de la estructura de control de las empresas operantes en el mercado eléctrico peruano</w:t>
      </w:r>
      <w:r w:rsidR="005A478B">
        <w:rPr>
          <w:color w:val="000000"/>
        </w:rPr>
        <w:t>. En segunda instancia, la Sala, conforme a lo expuesto en los antecedentes, coincidió en los argumentos de fondo, pero no recogió lo impuesto por la Comisión sobre la multa, declarando la nulidad</w:t>
      </w:r>
      <w:r w:rsidR="00D558FE">
        <w:rPr>
          <w:color w:val="000000"/>
        </w:rPr>
        <w:t xml:space="preserve"> de lo resuelto en la primera instancia</w:t>
      </w:r>
      <w:r w:rsidR="005A478B">
        <w:rPr>
          <w:color w:val="000000"/>
        </w:rPr>
        <w:t xml:space="preserve"> </w:t>
      </w:r>
      <w:r w:rsidR="00D558FE">
        <w:rPr>
          <w:color w:val="000000"/>
        </w:rPr>
        <w:t>y la</w:t>
      </w:r>
      <w:r w:rsidR="005A478B">
        <w:rPr>
          <w:color w:val="000000"/>
        </w:rPr>
        <w:t xml:space="preserve"> imposición de una nueva sanción de 100 UIT. </w:t>
      </w:r>
    </w:p>
    <w:p w:rsidR="002355F1" w:rsidRDefault="002355F1" w:rsidP="00D936C4">
      <w:pPr>
        <w:spacing w:line="360" w:lineRule="auto"/>
        <w:jc w:val="both"/>
      </w:pPr>
    </w:p>
    <w:p w:rsidR="002355F1" w:rsidRDefault="00D558FE" w:rsidP="00D936C4">
      <w:pPr>
        <w:spacing w:line="360" w:lineRule="auto"/>
        <w:jc w:val="both"/>
        <w:rPr>
          <w:color w:val="000000"/>
        </w:rPr>
      </w:pPr>
      <w:r>
        <w:rPr>
          <w:color w:val="000000"/>
        </w:rPr>
        <w:t>Por lo anteriormente expresado</w:t>
      </w:r>
      <w:r w:rsidR="005A478B">
        <w:rPr>
          <w:color w:val="000000"/>
        </w:rPr>
        <w:t xml:space="preserve">, el análisis de los problemas jurídicos comprenderá tres secciones, las cuales, buscarán identificar </w:t>
      </w:r>
      <w:r>
        <w:rPr>
          <w:color w:val="000000"/>
        </w:rPr>
        <w:t>aquellos</w:t>
      </w:r>
      <w:r w:rsidR="005A478B">
        <w:rPr>
          <w:color w:val="000000"/>
        </w:rPr>
        <w:t xml:space="preserve"> problemas formales </w:t>
      </w:r>
      <w:r>
        <w:rPr>
          <w:color w:val="000000"/>
        </w:rPr>
        <w:t xml:space="preserve">y </w:t>
      </w:r>
      <w:r w:rsidR="005A478B">
        <w:rPr>
          <w:color w:val="000000"/>
        </w:rPr>
        <w:t xml:space="preserve">de </w:t>
      </w:r>
      <w:r>
        <w:rPr>
          <w:color w:val="000000"/>
        </w:rPr>
        <w:t>contenido</w:t>
      </w:r>
      <w:r w:rsidR="005A478B">
        <w:rPr>
          <w:color w:val="000000"/>
        </w:rPr>
        <w:t xml:space="preserve"> del Expediente 010-2009/CLC</w:t>
      </w:r>
      <w:r>
        <w:rPr>
          <w:color w:val="000000"/>
        </w:rPr>
        <w:t>. De modo accesorio,</w:t>
      </w:r>
      <w:r w:rsidR="005A478B">
        <w:rPr>
          <w:color w:val="000000"/>
        </w:rPr>
        <w:t xml:space="preserve"> </w:t>
      </w:r>
      <w:r w:rsidR="00C031C0">
        <w:rPr>
          <w:color w:val="000000"/>
        </w:rPr>
        <w:t xml:space="preserve">serán propuestas </w:t>
      </w:r>
      <w:r w:rsidR="005A478B">
        <w:rPr>
          <w:color w:val="000000"/>
        </w:rPr>
        <w:t xml:space="preserve">nuevas fórmulas frente a las deficiencias detectadas.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Un primer momento comprenderá la evaluación de aspectos formales del procedimiento administrativo sancionador </w:t>
      </w:r>
      <w:r w:rsidR="00D558FE">
        <w:rPr>
          <w:color w:val="000000"/>
        </w:rPr>
        <w:t xml:space="preserve">tales </w:t>
      </w:r>
      <w:r>
        <w:rPr>
          <w:color w:val="000000"/>
        </w:rPr>
        <w:t>como la competencia de la autoridad en el inicio vinculada a la separación entre órganos de instrucción y sanción, así como el análisis de la tipicidad de la infracción dispuesta en la Ley 26786, y en particular, la del caso de una concentración sin autorización.</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En un segundo momento</w:t>
      </w:r>
      <w:r>
        <w:t xml:space="preserve"> se realizará el análisis de fondo de la infracción, haciendo especial énfasis en la relación con los objetivos d</w:t>
      </w:r>
      <w:r>
        <w:rPr>
          <w:color w:val="000000"/>
        </w:rPr>
        <w:t xml:space="preserve">el control de estructuras </w:t>
      </w:r>
      <w:r>
        <w:t>en el sector eléctrico</w:t>
      </w:r>
      <w:r>
        <w:rPr>
          <w:color w:val="000000"/>
        </w:rPr>
        <w:t xml:space="preserve">. </w:t>
      </w:r>
      <w:r w:rsidR="00D558FE">
        <w:rPr>
          <w:color w:val="000000"/>
        </w:rPr>
        <w:t>Dentro de este marco,</w:t>
      </w:r>
      <w:r>
        <w:rPr>
          <w:color w:val="000000"/>
        </w:rPr>
        <w:t xml:space="preserve"> se analizará la existencia de medida de dispensa de la obligación de suspensión en el derecho de la competencia y si se encuentran expresamente prohibidas las excepciones a la obligación de suspensión</w:t>
      </w:r>
      <w:r w:rsidR="00D558FE">
        <w:rPr>
          <w:color w:val="000000"/>
        </w:rPr>
        <w:t xml:space="preserve"> o cabía lugar a análisis por parte de la autoridad. </w:t>
      </w:r>
      <w:r>
        <w:rPr>
          <w:color w:val="000000"/>
        </w:rPr>
        <w:t xml:space="preserve"> </w:t>
      </w:r>
    </w:p>
    <w:p w:rsidR="002355F1" w:rsidRDefault="002355F1" w:rsidP="00D936C4">
      <w:pPr>
        <w:spacing w:line="360" w:lineRule="auto"/>
        <w:jc w:val="both"/>
        <w:rPr>
          <w:color w:val="000000"/>
        </w:rPr>
      </w:pPr>
    </w:p>
    <w:p w:rsidR="002355F1" w:rsidRDefault="005A478B" w:rsidP="00D936C4">
      <w:pPr>
        <w:spacing w:line="360" w:lineRule="auto"/>
        <w:jc w:val="both"/>
        <w:rPr>
          <w:b/>
          <w:color w:val="000000"/>
        </w:rPr>
      </w:pPr>
      <w:r>
        <w:rPr>
          <w:color w:val="000000"/>
        </w:rPr>
        <w:t>Teniendo clar</w:t>
      </w:r>
      <w:r>
        <w:t xml:space="preserve">o el contenido </w:t>
      </w:r>
      <w:r>
        <w:rPr>
          <w:color w:val="000000"/>
        </w:rPr>
        <w:t>de la infracción materia de an</w:t>
      </w:r>
      <w:r>
        <w:t>álisis</w:t>
      </w:r>
      <w:r>
        <w:rPr>
          <w:color w:val="000000"/>
        </w:rPr>
        <w:t xml:space="preserve"> del artículo 6, la tercera sección </w:t>
      </w:r>
      <w:r w:rsidR="00D558FE">
        <w:rPr>
          <w:color w:val="000000"/>
        </w:rPr>
        <w:t>hara hincapié en</w:t>
      </w:r>
      <w:r>
        <w:rPr>
          <w:color w:val="000000"/>
        </w:rPr>
        <w:t xml:space="preserve"> el ejercicio del poder punitivo </w:t>
      </w:r>
      <w:r w:rsidR="00D558FE">
        <w:rPr>
          <w:color w:val="000000"/>
        </w:rPr>
        <w:t>manifestado</w:t>
      </w:r>
      <w:r>
        <w:rPr>
          <w:color w:val="000000"/>
        </w:rPr>
        <w:t xml:space="preserve"> en el Caso Enel </w:t>
      </w:r>
      <w:r w:rsidR="000572CA">
        <w:rPr>
          <w:color w:val="000000"/>
        </w:rPr>
        <w:t>a través de una</w:t>
      </w:r>
      <w:r>
        <w:rPr>
          <w:color w:val="000000"/>
        </w:rPr>
        <w:t xml:space="preserve"> multa y los criterios empleados para la graduación de la misma.  </w:t>
      </w:r>
    </w:p>
    <w:p w:rsidR="002355F1" w:rsidRDefault="005A478B" w:rsidP="00D936C4">
      <w:pPr>
        <w:pStyle w:val="Ttulo2"/>
        <w:numPr>
          <w:ilvl w:val="1"/>
          <w:numId w:val="3"/>
        </w:numPr>
        <w:spacing w:line="360" w:lineRule="auto"/>
        <w:rPr>
          <w:color w:val="000000"/>
          <w:sz w:val="24"/>
          <w:szCs w:val="24"/>
        </w:rPr>
      </w:pPr>
      <w:bookmarkStart w:id="17" w:name="_Toc47387724"/>
      <w:r>
        <w:rPr>
          <w:color w:val="000000"/>
          <w:sz w:val="24"/>
          <w:szCs w:val="24"/>
        </w:rPr>
        <w:t>Sobre los aspectos formales del procedimiento administrativo sancionador</w:t>
      </w:r>
      <w:r w:rsidR="00123ED2">
        <w:rPr>
          <w:color w:val="000000"/>
          <w:sz w:val="24"/>
          <w:szCs w:val="24"/>
        </w:rPr>
        <w:t>.</w:t>
      </w:r>
      <w:bookmarkEnd w:id="17"/>
      <w:r w:rsidR="00123ED2">
        <w:rPr>
          <w:color w:val="000000"/>
          <w:sz w:val="24"/>
          <w:szCs w:val="24"/>
        </w:rPr>
        <w:t xml:space="preserve"> </w:t>
      </w:r>
    </w:p>
    <w:p w:rsidR="00123ED2" w:rsidRDefault="00C60893" w:rsidP="00123ED2">
      <w:pPr>
        <w:spacing w:line="360" w:lineRule="auto"/>
        <w:jc w:val="both"/>
        <w:rPr>
          <w:color w:val="000000"/>
        </w:rPr>
      </w:pPr>
      <w:r>
        <w:rPr>
          <w:color w:val="000000"/>
        </w:rPr>
        <w:t>La sección tiene como objetivo evaluar el desarrollo</w:t>
      </w:r>
      <w:r w:rsidR="005A478B">
        <w:rPr>
          <w:color w:val="000000"/>
        </w:rPr>
        <w:t xml:space="preserve"> del procedimiento administrativo sancionador llevado a cabo por la Comisión contra Enel</w:t>
      </w:r>
      <w:r w:rsidR="005A478B">
        <w:t>, identificando</w:t>
      </w:r>
      <w:r w:rsidR="005A478B">
        <w:rPr>
          <w:color w:val="000000"/>
        </w:rPr>
        <w:t xml:space="preserve"> </w:t>
      </w:r>
      <w:r>
        <w:rPr>
          <w:color w:val="000000"/>
        </w:rPr>
        <w:t>los</w:t>
      </w:r>
      <w:r w:rsidR="005A478B">
        <w:rPr>
          <w:color w:val="000000"/>
        </w:rPr>
        <w:t xml:space="preserve"> defectos en </w:t>
      </w:r>
      <w:r>
        <w:rPr>
          <w:color w:val="000000"/>
        </w:rPr>
        <w:t xml:space="preserve">su </w:t>
      </w:r>
      <w:r w:rsidR="005A478B">
        <w:rPr>
          <w:color w:val="000000"/>
        </w:rPr>
        <w:lastRenderedPageBreak/>
        <w:t>tramitación del procedimiento</w:t>
      </w:r>
      <w:r>
        <w:rPr>
          <w:color w:val="000000"/>
        </w:rPr>
        <w:t xml:space="preserve"> tales como </w:t>
      </w:r>
      <w:r w:rsidR="005A478B">
        <w:rPr>
          <w:color w:val="000000"/>
        </w:rPr>
        <w:t xml:space="preserve">como </w:t>
      </w:r>
      <w:r w:rsidR="00C031C0">
        <w:rPr>
          <w:color w:val="000000"/>
        </w:rPr>
        <w:t xml:space="preserve">la afectación a </w:t>
      </w:r>
      <w:r w:rsidR="005A478B">
        <w:t>garantía</w:t>
      </w:r>
      <w:r w:rsidR="005A478B">
        <w:rPr>
          <w:color w:val="000000"/>
        </w:rPr>
        <w:t xml:space="preserve"> de separación funcional</w:t>
      </w:r>
      <w:r w:rsidR="00C031C0">
        <w:rPr>
          <w:color w:val="000000"/>
        </w:rPr>
        <w:t xml:space="preserve"> </w:t>
      </w:r>
      <w:r w:rsidR="005A478B">
        <w:t xml:space="preserve">y el principio de </w:t>
      </w:r>
      <w:r w:rsidR="005A478B">
        <w:rPr>
          <w:color w:val="000000"/>
        </w:rPr>
        <w:t>tipicidad</w:t>
      </w:r>
      <w:r>
        <w:rPr>
          <w:color w:val="000000"/>
        </w:rPr>
        <w:t xml:space="preserve">. Como se afirmará luego, es criterio de la autora de este Informe que los defectos expuestos </w:t>
      </w:r>
      <w:r w:rsidR="005A478B">
        <w:rPr>
          <w:color w:val="000000"/>
        </w:rPr>
        <w:t xml:space="preserve">debieron </w:t>
      </w:r>
      <w:r w:rsidR="00C031C0">
        <w:rPr>
          <w:color w:val="000000"/>
        </w:rPr>
        <w:t>ocasionar</w:t>
      </w:r>
      <w:r w:rsidR="005A478B">
        <w:rPr>
          <w:color w:val="000000"/>
        </w:rPr>
        <w:t xml:space="preserve"> la nulidad de</w:t>
      </w:r>
      <w:r>
        <w:rPr>
          <w:color w:val="000000"/>
        </w:rPr>
        <w:t xml:space="preserve">l </w:t>
      </w:r>
      <w:r w:rsidR="005A478B">
        <w:rPr>
          <w:color w:val="000000"/>
        </w:rPr>
        <w:t>procedimiento sancionador</w:t>
      </w:r>
      <w:r>
        <w:rPr>
          <w:color w:val="000000"/>
        </w:rPr>
        <w:t xml:space="preserve"> del Expediente 010-2009/CLC-INDECOPI</w:t>
      </w:r>
      <w:r w:rsidR="005A478B">
        <w:rPr>
          <w:color w:val="000000"/>
        </w:rPr>
        <w:t>.</w:t>
      </w:r>
    </w:p>
    <w:p w:rsidR="00123ED2" w:rsidRDefault="00123ED2" w:rsidP="00123ED2">
      <w:pPr>
        <w:spacing w:line="360" w:lineRule="auto"/>
        <w:jc w:val="both"/>
        <w:rPr>
          <w:color w:val="000000"/>
        </w:rPr>
      </w:pPr>
    </w:p>
    <w:p w:rsidR="002B39BA" w:rsidRPr="00123ED2" w:rsidRDefault="005A478B" w:rsidP="00123ED2">
      <w:pPr>
        <w:pStyle w:val="Prrafodelista"/>
        <w:numPr>
          <w:ilvl w:val="2"/>
          <w:numId w:val="3"/>
        </w:numPr>
        <w:spacing w:line="360" w:lineRule="auto"/>
        <w:jc w:val="both"/>
        <w:rPr>
          <w:b/>
          <w:color w:val="000000"/>
        </w:rPr>
      </w:pPr>
      <w:r w:rsidRPr="00123ED2">
        <w:rPr>
          <w:b/>
          <w:color w:val="000000"/>
        </w:rPr>
        <w:t>¿Qué es el procedimiento administrativo sancionador?</w:t>
      </w:r>
    </w:p>
    <w:p w:rsidR="002B39BA" w:rsidRPr="002B39BA" w:rsidRDefault="002B39BA" w:rsidP="00D936C4">
      <w:pPr>
        <w:spacing w:line="360" w:lineRule="auto"/>
      </w:pPr>
    </w:p>
    <w:p w:rsidR="002355F1" w:rsidRDefault="005A478B" w:rsidP="00D936C4">
      <w:pPr>
        <w:spacing w:line="360" w:lineRule="auto"/>
        <w:jc w:val="both"/>
        <w:rPr>
          <w:color w:val="000000"/>
        </w:rPr>
      </w:pPr>
      <w:r>
        <w:rPr>
          <w:color w:val="000000"/>
        </w:rPr>
        <w:t xml:space="preserve">Entendemos el procedimiento administrativo sancionador como </w:t>
      </w:r>
      <w:r w:rsidR="002B39BA">
        <w:rPr>
          <w:color w:val="000000"/>
        </w:rPr>
        <w:t>aquella manifestación de la potestad sancionadora de la Administración que dota de obligatoriedad y refuerza la protección de sus dispos</w:t>
      </w:r>
      <w:r w:rsidR="00B93DE3">
        <w:rPr>
          <w:color w:val="000000"/>
        </w:rPr>
        <w:t>i</w:t>
      </w:r>
      <w:r w:rsidR="002B39BA">
        <w:rPr>
          <w:color w:val="000000"/>
        </w:rPr>
        <w:t>ciones. Así</w:t>
      </w:r>
      <w:r>
        <w:rPr>
          <w:color w:val="000000"/>
        </w:rPr>
        <w:t xml:space="preserve">, existiendo en la norma de la entidad de la Administración Pública </w:t>
      </w:r>
      <w:r w:rsidR="002B39BA">
        <w:rPr>
          <w:color w:val="000000"/>
        </w:rPr>
        <w:t>la determinación de</w:t>
      </w:r>
      <w:r>
        <w:rPr>
          <w:color w:val="000000"/>
        </w:rPr>
        <w:t xml:space="preserve"> conductas como infracciones, en la realidad, el administrado actúa y la Administración Pública identifica la actuación como una que po</w:t>
      </w:r>
      <w:r>
        <w:t xml:space="preserve">dría </w:t>
      </w:r>
      <w:r>
        <w:rPr>
          <w:color w:val="000000"/>
        </w:rPr>
        <w:t xml:space="preserve">calzar en el supuesto de hecho incluido en la </w:t>
      </w:r>
      <w:r w:rsidR="002B39BA">
        <w:rPr>
          <w:color w:val="000000"/>
        </w:rPr>
        <w:t>disposición</w:t>
      </w:r>
      <w:r>
        <w:t xml:space="preserve"> y </w:t>
      </w:r>
      <w:r>
        <w:rPr>
          <w:color w:val="000000"/>
        </w:rPr>
        <w:t>determina el inicio de un procedimiento administrativo sancionador</w:t>
      </w:r>
      <w:r w:rsidR="002B39BA">
        <w:rPr>
          <w:color w:val="000000"/>
        </w:rPr>
        <w:t>, considerando la consecuencia jurídica dispuesta</w:t>
      </w:r>
      <w:r>
        <w:t>.</w:t>
      </w:r>
      <w:r>
        <w:rPr>
          <w:color w:val="000000"/>
        </w:rPr>
        <w:t xml:space="preserve"> </w:t>
      </w:r>
      <w:r w:rsidR="00B93DE3">
        <w:t>Con la tarea</w:t>
      </w:r>
      <w:r w:rsidR="002B39BA">
        <w:t xml:space="preserve"> de</w:t>
      </w:r>
      <w:r w:rsidR="002B39BA">
        <w:rPr>
          <w:color w:val="000000"/>
        </w:rPr>
        <w:t xml:space="preserve"> determinar si existe o no responsabilidad administrativa, </w:t>
      </w:r>
      <w:r>
        <w:t>se promueve</w:t>
      </w:r>
      <w:r>
        <w:rPr>
          <w:color w:val="000000"/>
        </w:rPr>
        <w:t xml:space="preserve"> la actuación de medios probatorios</w:t>
      </w:r>
      <w:r>
        <w:t xml:space="preserve"> y otras actuaciones </w:t>
      </w:r>
      <w:r>
        <w:rPr>
          <w:color w:val="000000"/>
        </w:rPr>
        <w:t xml:space="preserve">y, en caso se </w:t>
      </w:r>
      <w:r w:rsidR="00B93DE3">
        <w:rPr>
          <w:color w:val="000000"/>
        </w:rPr>
        <w:t>concluya</w:t>
      </w:r>
      <w:r>
        <w:rPr>
          <w:color w:val="000000"/>
        </w:rPr>
        <w:t xml:space="preserve"> la existencia</w:t>
      </w:r>
      <w:r w:rsidR="00B93DE3">
        <w:rPr>
          <w:color w:val="000000"/>
        </w:rPr>
        <w:t xml:space="preserve"> de un actuar contrario a lo legalmente establecido</w:t>
      </w:r>
      <w:r>
        <w:rPr>
          <w:color w:val="000000"/>
        </w:rPr>
        <w:t xml:space="preserve">, </w:t>
      </w:r>
      <w:r w:rsidR="00B93DE3">
        <w:rPr>
          <w:color w:val="000000"/>
        </w:rPr>
        <w:t xml:space="preserve">corresponderá </w:t>
      </w:r>
      <w:r>
        <w:rPr>
          <w:color w:val="000000"/>
        </w:rPr>
        <w:t>la consecuente aplicaci</w:t>
      </w:r>
      <w:r>
        <w:t xml:space="preserve">ón </w:t>
      </w:r>
      <w:r>
        <w:rPr>
          <w:color w:val="000000"/>
        </w:rPr>
        <w:t xml:space="preserve">de una sanción en el marco del Derecho Administrativo. </w:t>
      </w:r>
      <w:r w:rsidR="002B39BA">
        <w:rPr>
          <w:color w:val="000000"/>
        </w:rPr>
        <w:t xml:space="preserve"> Los</w:t>
      </w:r>
      <w:r>
        <w:rPr>
          <w:color w:val="000000"/>
        </w:rPr>
        <w:t xml:space="preserve"> autores Tomás-Ramón Fernández y Eduardo García de Enterría exponen sobre el procedimiento:</w:t>
      </w:r>
    </w:p>
    <w:p w:rsidR="002355F1" w:rsidRDefault="002355F1" w:rsidP="00D936C4">
      <w:pPr>
        <w:spacing w:line="360" w:lineRule="auto"/>
        <w:jc w:val="both"/>
      </w:pPr>
    </w:p>
    <w:p w:rsidR="002355F1" w:rsidRPr="00324395" w:rsidRDefault="005A478B" w:rsidP="00D936C4">
      <w:pPr>
        <w:spacing w:line="360" w:lineRule="auto"/>
        <w:ind w:left="720"/>
        <w:jc w:val="both"/>
        <w:rPr>
          <w:color w:val="000000"/>
          <w:sz w:val="20"/>
          <w:szCs w:val="20"/>
        </w:rPr>
      </w:pPr>
      <w:r w:rsidRPr="00324395">
        <w:rPr>
          <w:color w:val="000000"/>
          <w:sz w:val="20"/>
          <w:szCs w:val="20"/>
        </w:rPr>
        <w:t xml:space="preserve">Correspondiendo a la Administración la imposición de la sanción en la institución que estamos estudiando, la Administración debe seguir para llegar a ese acto sancionatorio un procedimiento formal. Así lo enuncia el artículo 134.1 LPC: “El ejercicio de la potestad sancionadora requerirá procedimiento legal o reglamentariamente establecido” y en su 4, el mismo artículo establece: “En ningún caso se podrá imponer una sanción sin que se haya tramitado el correspondiente procedimiento”, proposición que parece dirigida a excluir definitivamente (ya lo había hecho la Sentencia constitucional de 8 de junio de 1981) el sistema de las llamadas “sanciones de plano” o sin procedimiento (García de Enterría y Fernández 2004: 188). </w:t>
      </w:r>
    </w:p>
    <w:p w:rsidR="002355F1" w:rsidRDefault="002355F1" w:rsidP="00D936C4">
      <w:pPr>
        <w:spacing w:line="360" w:lineRule="auto"/>
        <w:ind w:left="720"/>
        <w:jc w:val="both"/>
        <w:rPr>
          <w:color w:val="000000"/>
          <w:sz w:val="22"/>
          <w:szCs w:val="22"/>
        </w:rPr>
      </w:pPr>
    </w:p>
    <w:p w:rsidR="002355F1" w:rsidRDefault="005A478B" w:rsidP="00D936C4">
      <w:pPr>
        <w:spacing w:line="360" w:lineRule="auto"/>
        <w:jc w:val="both"/>
        <w:rPr>
          <w:color w:val="000000"/>
        </w:rPr>
      </w:pPr>
      <w:r>
        <w:rPr>
          <w:color w:val="000000"/>
        </w:rPr>
        <w:t>Podemos concluir que este procedimiento es el conjunto de actos que tienen como propósito determinar la existencia de responsabilidad administrativa como la comisión de una infracción y, a partir de esto, establecer consecuente aplicación de una sanción (Ministerio de Justicia y Derechos Hu</w:t>
      </w:r>
      <w:r>
        <w:t>manos 2017: 12)</w:t>
      </w:r>
      <w:r>
        <w:rPr>
          <w:color w:val="000000"/>
        </w:rPr>
        <w:t xml:space="preserve">. El procedimiento administrativo sancionador es, </w:t>
      </w:r>
      <w:r>
        <w:rPr>
          <w:color w:val="000000"/>
        </w:rPr>
        <w:lastRenderedPageBreak/>
        <w:t xml:space="preserve">además, una garantía esencial y la vía que tienen los administrados, investigados por la comisión de una infracción, </w:t>
      </w:r>
      <w:r w:rsidR="002A1266">
        <w:rPr>
          <w:color w:val="000000"/>
        </w:rPr>
        <w:t xml:space="preserve">para </w:t>
      </w:r>
      <w:r w:rsidR="00D90223">
        <w:rPr>
          <w:color w:val="000000"/>
        </w:rPr>
        <w:t>reclamar</w:t>
      </w:r>
      <w:r>
        <w:rPr>
          <w:color w:val="000000"/>
        </w:rPr>
        <w:t xml:space="preserve"> la vigencia de sus derechos fundamentales frente a la Administración Pública (Alarcón 2010: 541).</w:t>
      </w:r>
    </w:p>
    <w:p w:rsidR="002355F1" w:rsidRDefault="005A478B" w:rsidP="00123ED2">
      <w:pPr>
        <w:pStyle w:val="Ttulo3"/>
        <w:numPr>
          <w:ilvl w:val="2"/>
          <w:numId w:val="3"/>
        </w:numPr>
        <w:spacing w:line="360" w:lineRule="auto"/>
        <w:rPr>
          <w:color w:val="000000"/>
          <w:sz w:val="24"/>
          <w:szCs w:val="24"/>
        </w:rPr>
      </w:pPr>
      <w:bookmarkStart w:id="18" w:name="_Toc47387725"/>
      <w:r>
        <w:rPr>
          <w:color w:val="000000"/>
          <w:sz w:val="24"/>
          <w:szCs w:val="24"/>
        </w:rPr>
        <w:t>Las garantías mínimas de la potestad sancionadora</w:t>
      </w:r>
      <w:bookmarkEnd w:id="18"/>
      <w:r>
        <w:rPr>
          <w:color w:val="000000"/>
          <w:sz w:val="24"/>
          <w:szCs w:val="24"/>
        </w:rPr>
        <w:t xml:space="preserve">  </w:t>
      </w:r>
    </w:p>
    <w:p w:rsidR="002355F1" w:rsidRDefault="005A478B" w:rsidP="00D936C4">
      <w:pPr>
        <w:spacing w:line="360" w:lineRule="auto"/>
        <w:jc w:val="both"/>
        <w:rPr>
          <w:color w:val="000000"/>
        </w:rPr>
      </w:pPr>
      <w:r>
        <w:rPr>
          <w:color w:val="000000"/>
        </w:rPr>
        <w:t xml:space="preserve">La actuación de la Administración, si bien debe privilegiar lo protegido por la norma, debe reconocer el respeto de las garantías fundamentales de los administrados. Al respecto, observamos que la facultad de las entidades administrativas para aplicar una sanción no se encuentran expresamente reconocidas en la norma constitucional, pero, ante esta ausencia de reconocimiento, el Tribunal Constitucional en el fundamento 2 de la Sentencia del 3 de agosto de 2004 recaída en el Expediente 1654-2004-AA/TC, ha afirmado que la imposición de sanciones es una manifestación de la potestad sancionadora y del ejercicio de esta. </w:t>
      </w:r>
      <w:r w:rsidR="00A847C8">
        <w:rPr>
          <w:color w:val="000000"/>
        </w:rPr>
        <w:t>En el mismo orden de ideas</w:t>
      </w:r>
      <w:r>
        <w:rPr>
          <w:color w:val="000000"/>
        </w:rPr>
        <w:t>,</w:t>
      </w:r>
      <w:r w:rsidR="00A847C8">
        <w:rPr>
          <w:color w:val="000000"/>
        </w:rPr>
        <w:t xml:space="preserve"> </w:t>
      </w:r>
      <w:r>
        <w:rPr>
          <w:color w:val="000000"/>
        </w:rPr>
        <w:t>el Tribunal Constitucional añadi</w:t>
      </w:r>
      <w:r>
        <w:t xml:space="preserve">ó </w:t>
      </w:r>
      <w:r>
        <w:rPr>
          <w:color w:val="000000"/>
        </w:rPr>
        <w:t xml:space="preserve">que el ejercicio de dicha potestad </w:t>
      </w:r>
      <w:r>
        <w:t>se encuentra</w:t>
      </w:r>
      <w:r>
        <w:rPr>
          <w:color w:val="000000"/>
        </w:rPr>
        <w:t xml:space="preserve"> condicionada al respeto de la Constitución y otras garantías fundamentales, en pro de su validez.  </w:t>
      </w:r>
    </w:p>
    <w:p w:rsidR="002355F1" w:rsidRDefault="002355F1" w:rsidP="00D936C4">
      <w:pPr>
        <w:spacing w:line="360" w:lineRule="auto"/>
        <w:jc w:val="both"/>
        <w:rPr>
          <w:color w:val="000000"/>
        </w:rPr>
      </w:pPr>
    </w:p>
    <w:p w:rsidR="002355F1" w:rsidRPr="00324395" w:rsidRDefault="005A478B" w:rsidP="00D936C4">
      <w:pPr>
        <w:spacing w:line="360" w:lineRule="auto"/>
        <w:ind w:left="720"/>
        <w:jc w:val="both"/>
        <w:rPr>
          <w:color w:val="000000"/>
          <w:sz w:val="20"/>
          <w:szCs w:val="20"/>
        </w:rPr>
      </w:pPr>
      <w:r w:rsidRPr="00324395">
        <w:rPr>
          <w:color w:val="000000"/>
          <w:sz w:val="20"/>
          <w:szCs w:val="20"/>
        </w:rPr>
        <w:t>2. La aplicación de una sanción administrativa constituye la manifestación del ejercicio de la potestad sancionatoria de la Administración; como toda potestad, no obstante, en el contexto de un Estado de Derecho (artículo 3.º, Constitución política), está condicionada, en cuanto a su propia validez, al respeto de la Constitución, de los principios constitucionales y, en particular, a la observancia de los derechos fundamentales. Al respecto, debe resaltarse la vinculatoriedad de la Administración al irrestricto respeto del derecho al debido proceso en la prosecución de procedimientos administrativos disciplinarios y, en consecuencia, de los derechos fundamentales procesales y de los principios constitucionales (v.gr. legalidad, razonabilidad, proporcionalidad, interdicción de la arbitrariedad) que lo conforman. (Tribunal Constitucional 2004: fundamento 2).</w:t>
      </w:r>
    </w:p>
    <w:p w:rsidR="002355F1" w:rsidRDefault="005A478B" w:rsidP="00D936C4">
      <w:pPr>
        <w:spacing w:line="360" w:lineRule="auto"/>
        <w:jc w:val="both"/>
        <w:rPr>
          <w:color w:val="000000"/>
        </w:rPr>
      </w:pPr>
      <w:r>
        <w:rPr>
          <w:color w:val="000000"/>
        </w:rPr>
        <w:t xml:space="preserve"> </w:t>
      </w:r>
    </w:p>
    <w:p w:rsidR="0037494B" w:rsidRDefault="00A847C8" w:rsidP="00D936C4">
      <w:pPr>
        <w:spacing w:line="360" w:lineRule="auto"/>
        <w:jc w:val="both"/>
        <w:rPr>
          <w:color w:val="000000"/>
        </w:rPr>
      </w:pPr>
      <w:r>
        <w:rPr>
          <w:color w:val="000000"/>
        </w:rPr>
        <w:t>Es posible inferir, entonces, que</w:t>
      </w:r>
      <w:r w:rsidR="005A478B">
        <w:rPr>
          <w:color w:val="000000"/>
        </w:rPr>
        <w:t xml:space="preserve"> la potestad sancionadora otorgada a la Administración y en el caso particular, a Indecopi, </w:t>
      </w:r>
      <w:r w:rsidR="0037494B">
        <w:rPr>
          <w:color w:val="000000"/>
        </w:rPr>
        <w:t>fue otorgada con el propósito de</w:t>
      </w:r>
      <w:r w:rsidR="005A478B">
        <w:rPr>
          <w:color w:val="000000"/>
        </w:rPr>
        <w:t xml:space="preserve"> garantizar la ordenación y regulación de las actividades en la socieda</w:t>
      </w:r>
      <w:r w:rsidR="0037494B">
        <w:rPr>
          <w:color w:val="000000"/>
        </w:rPr>
        <w:t>d, siempre en atento respecto a las garantías del administrado. Para mayor detalle, e</w:t>
      </w:r>
      <w:r w:rsidR="00F31806">
        <w:rPr>
          <w:color w:val="000000"/>
        </w:rPr>
        <w:t>l artículo 2.2 del Decreto Legislativo 1033</w:t>
      </w:r>
      <w:r w:rsidR="0037494B">
        <w:rPr>
          <w:color w:val="000000"/>
        </w:rPr>
        <w:t xml:space="preserve"> ilustra que</w:t>
      </w:r>
      <w:r w:rsidR="00F31806">
        <w:rPr>
          <w:color w:val="000000"/>
        </w:rPr>
        <w:t xml:space="preserve"> para el cumplimiento de sus funciones como la vigilancia y protección de la competencia, Indecopi </w:t>
      </w:r>
      <w:r w:rsidR="0037494B">
        <w:rPr>
          <w:color w:val="000000"/>
        </w:rPr>
        <w:t>contaba con la facultad expresa</w:t>
      </w:r>
      <w:r w:rsidR="00F31806">
        <w:rPr>
          <w:rFonts w:ascii="TimesNewRomanPSMT" w:hAnsi="TimesNewRomanPSMT"/>
        </w:rPr>
        <w:t xml:space="preserve"> para supervisar y fiscalizar actividades económicas</w:t>
      </w:r>
      <w:r w:rsidR="0037494B">
        <w:rPr>
          <w:rFonts w:ascii="TimesNewRomanPSMT" w:hAnsi="TimesNewRomanPSMT"/>
        </w:rPr>
        <w:t xml:space="preserve"> e </w:t>
      </w:r>
      <w:r w:rsidR="00F31806">
        <w:rPr>
          <w:rFonts w:ascii="TimesNewRomanPSMT" w:hAnsi="TimesNewRomanPSMT"/>
        </w:rPr>
        <w:t>imponer sanciones</w:t>
      </w:r>
      <w:r w:rsidR="0037494B">
        <w:rPr>
          <w:rFonts w:ascii="TimesNewRomanPSMT" w:hAnsi="TimesNewRomanPSMT"/>
        </w:rPr>
        <w:t>, entre otras actividades.</w:t>
      </w:r>
    </w:p>
    <w:p w:rsidR="002355F1" w:rsidRPr="0037494B" w:rsidRDefault="0037494B" w:rsidP="00D936C4">
      <w:pPr>
        <w:spacing w:line="360" w:lineRule="auto"/>
        <w:jc w:val="both"/>
      </w:pPr>
      <w:r>
        <w:lastRenderedPageBreak/>
        <w:t xml:space="preserve">Existiendo una entidad dentro de la Administración Pública con potestad sancionadora, el </w:t>
      </w:r>
      <w:r w:rsidR="005A478B">
        <w:t xml:space="preserve">Ministerio de Justicia y Derechos Humanos </w:t>
      </w:r>
      <w:r>
        <w:t xml:space="preserve">ha sido firme al expresar que la misma </w:t>
      </w:r>
      <w:r w:rsidR="005A478B">
        <w:rPr>
          <w:color w:val="000000"/>
        </w:rPr>
        <w:t xml:space="preserve">no puede ser ejercida de manera arbitraria, sino que se encuentra condicionada al respecto de las disposiciones previstas en la Constitución y los derechos fundamentales de los administrados (Ministerio de </w:t>
      </w:r>
      <w:r w:rsidR="005A478B">
        <w:t>Justicia y Derechos Humanos 2017: 11)</w:t>
      </w:r>
      <w:r w:rsidR="005A478B">
        <w:rPr>
          <w:color w:val="000000"/>
        </w:rPr>
        <w:t xml:space="preserve">. </w:t>
      </w:r>
    </w:p>
    <w:p w:rsidR="002355F1" w:rsidRDefault="002355F1" w:rsidP="00D936C4">
      <w:pPr>
        <w:spacing w:line="360" w:lineRule="auto"/>
        <w:jc w:val="both"/>
        <w:rPr>
          <w:color w:val="000000"/>
        </w:rPr>
      </w:pPr>
    </w:p>
    <w:p w:rsidR="00EE68FD" w:rsidRDefault="005A478B" w:rsidP="00D936C4">
      <w:pPr>
        <w:spacing w:line="360" w:lineRule="auto"/>
        <w:jc w:val="both"/>
        <w:rPr>
          <w:color w:val="000000"/>
        </w:rPr>
      </w:pPr>
      <w:r>
        <w:rPr>
          <w:color w:val="000000"/>
        </w:rPr>
        <w:t xml:space="preserve">Por ello, la Ley 27444, </w:t>
      </w:r>
      <w:r w:rsidR="00F31806">
        <w:rPr>
          <w:color w:val="000000"/>
        </w:rPr>
        <w:t xml:space="preserve">en su artículo 230, </w:t>
      </w:r>
      <w:r>
        <w:rPr>
          <w:color w:val="000000"/>
        </w:rPr>
        <w:t>contiene disposiciones relativas a los principios, reglas y garantías aplicables en el procedimiento administrativo sancionador</w:t>
      </w:r>
      <w:r>
        <w:t>, los cuales permiten que el procedimiento s</w:t>
      </w:r>
      <w:r>
        <w:rPr>
          <w:color w:val="000000"/>
        </w:rPr>
        <w:t>ea realizado de una manera ordenada y orientada a la consecución de un fin, así como respetando un mínimo de garantías para el administrado</w:t>
      </w:r>
      <w:r>
        <w:t xml:space="preserve">. </w:t>
      </w:r>
      <w:r>
        <w:rPr>
          <w:color w:val="000000"/>
        </w:rPr>
        <w:t xml:space="preserve">El procedimiento, entonces, es el mecanismo idóneo que tiene la Administración Pública para lograr su finalidad pública y, de otro lado, ofrece al administrado las garantías necesarias para el respecto de sus derechos fundamentales. </w:t>
      </w:r>
    </w:p>
    <w:p w:rsidR="00EE68FD" w:rsidRDefault="00EE68FD" w:rsidP="00D936C4">
      <w:pPr>
        <w:spacing w:line="360" w:lineRule="auto"/>
        <w:jc w:val="both"/>
        <w:rPr>
          <w:color w:val="000000"/>
        </w:rPr>
      </w:pPr>
    </w:p>
    <w:p w:rsidR="002355F1" w:rsidRDefault="005A478B" w:rsidP="00D936C4">
      <w:pPr>
        <w:spacing w:line="360" w:lineRule="auto"/>
        <w:jc w:val="both"/>
        <w:rPr>
          <w:color w:val="000000"/>
        </w:rPr>
      </w:pPr>
      <w:r>
        <w:rPr>
          <w:color w:val="000000"/>
        </w:rPr>
        <w:t>En el caso materia de informe, procedimiento administrativo sancionador iniciado por la Comisión a Enel</w:t>
      </w:r>
      <w:r w:rsidR="0037494B">
        <w:rPr>
          <w:color w:val="000000"/>
        </w:rPr>
        <w:t xml:space="preserve">, </w:t>
      </w:r>
      <w:r>
        <w:rPr>
          <w:color w:val="000000"/>
        </w:rPr>
        <w:t>identificamos dos elementos que</w:t>
      </w:r>
      <w:r w:rsidR="0037494B">
        <w:rPr>
          <w:color w:val="000000"/>
        </w:rPr>
        <w:t xml:space="preserve">, a criterio de la autora del Informe, </w:t>
      </w:r>
      <w:r>
        <w:rPr>
          <w:color w:val="000000"/>
        </w:rPr>
        <w:t>debieron ser cuestionados al momento de la defensa del Administrado</w:t>
      </w:r>
      <w:r w:rsidR="0037494B">
        <w:rPr>
          <w:color w:val="000000"/>
        </w:rPr>
        <w:t xml:space="preserve"> tales</w:t>
      </w:r>
      <w:r>
        <w:rPr>
          <w:color w:val="000000"/>
        </w:rPr>
        <w:t xml:space="preserve"> como la separación funcional y la tipicidad de la infracción</w:t>
      </w:r>
      <w:r w:rsidR="0037494B">
        <w:rPr>
          <w:color w:val="000000"/>
        </w:rPr>
        <w:t>. Tras un análisis dedicado, un curso regular de las acciones y atento al derecho, hubiera</w:t>
      </w:r>
      <w:r>
        <w:rPr>
          <w:color w:val="000000"/>
        </w:rPr>
        <w:t xml:space="preserve"> devenido en la nulidad del procedimiento al </w:t>
      </w:r>
      <w:r w:rsidR="0037494B">
        <w:rPr>
          <w:color w:val="000000"/>
        </w:rPr>
        <w:t>ser evidentes afectaciones a los</w:t>
      </w:r>
      <w:r>
        <w:rPr>
          <w:color w:val="000000"/>
        </w:rPr>
        <w:t xml:space="preserve"> principios como el debido procedimiento y la tipicidad.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Como premisa de este informe, las garantías del debido proceso son aplicables tanto al procedimiento administrativo del Derecho de la Competencia en su manifestación de autorización previa, como al procedimiento administrativo sancionador que surge a partir de este. Sin perjuicio que los procedimientos especiales pueden recoger sus propias disposiciones para ordenar el administrativo sancionador de su especialidad, éstas deben sujetarse a los mínimos indispensables reconocidos por la Ley 27444.</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Para ello, es importante recordar que la separación funcional y la claridad en la tipicidad constituyen garantías fundamentales para los administrados en el marco de un procedimiento sancionador, así como obligaciones a las entidades de la Administración. </w:t>
      </w:r>
      <w:r w:rsidR="0061475F">
        <w:rPr>
          <w:color w:val="000000"/>
        </w:rPr>
        <w:t xml:space="preserve">Dicho de otro </w:t>
      </w:r>
      <w:r w:rsidR="0061475F">
        <w:rPr>
          <w:color w:val="000000"/>
        </w:rPr>
        <w:lastRenderedPageBreak/>
        <w:t xml:space="preserve">modo, estas obligaciones traspasan todo aquello que pueda establecer el régimen especial, la tipicidad y la separación funcional constituyen principios esenciales de la potestad sancionadora de la Administración Pública. </w:t>
      </w:r>
    </w:p>
    <w:p w:rsidR="008F4C66" w:rsidRPr="008F4C66" w:rsidRDefault="005A478B" w:rsidP="008F4C66">
      <w:pPr>
        <w:pStyle w:val="Ttulo3"/>
        <w:numPr>
          <w:ilvl w:val="2"/>
          <w:numId w:val="3"/>
        </w:numPr>
        <w:spacing w:line="360" w:lineRule="auto"/>
        <w:rPr>
          <w:color w:val="000000"/>
          <w:sz w:val="24"/>
          <w:szCs w:val="24"/>
        </w:rPr>
      </w:pPr>
      <w:bookmarkStart w:id="19" w:name="_Toc47387726"/>
      <w:r>
        <w:rPr>
          <w:color w:val="000000"/>
          <w:sz w:val="24"/>
          <w:szCs w:val="24"/>
        </w:rPr>
        <w:t>Sobre la separación funcional, ¿puede la Comisión iniciar y sancionar?</w:t>
      </w:r>
      <w:bookmarkEnd w:id="19"/>
    </w:p>
    <w:p w:rsidR="002355F1" w:rsidRDefault="005A478B" w:rsidP="00123ED2">
      <w:pPr>
        <w:pStyle w:val="Ttulo4"/>
        <w:numPr>
          <w:ilvl w:val="3"/>
          <w:numId w:val="3"/>
        </w:numPr>
        <w:spacing w:line="360" w:lineRule="auto"/>
        <w:rPr>
          <w:color w:val="000000"/>
        </w:rPr>
      </w:pPr>
      <w:bookmarkStart w:id="20" w:name="_Toc47387727"/>
      <w:r>
        <w:rPr>
          <w:color w:val="000000"/>
        </w:rPr>
        <w:t>La Ley 26876 y el Reglamento sobre el inicio de los procedimientos administrativos sancionadores</w:t>
      </w:r>
      <w:bookmarkEnd w:id="20"/>
    </w:p>
    <w:p w:rsidR="008F4C66" w:rsidRPr="008F4C66" w:rsidRDefault="008F4C66" w:rsidP="008F4C66"/>
    <w:p w:rsidR="002355F1" w:rsidRDefault="005A478B" w:rsidP="00D936C4">
      <w:pPr>
        <w:spacing w:line="360" w:lineRule="auto"/>
        <w:jc w:val="both"/>
        <w:rPr>
          <w:color w:val="000000"/>
        </w:rPr>
      </w:pPr>
      <w:r>
        <w:rPr>
          <w:color w:val="000000"/>
        </w:rPr>
        <w:t>Los hechos del caso nos permite identificar que la Comisión, a través de la Resolución 051-2009/CLC-INDECOPI del 09 de julio de 2009 inició de oficio el procedimiento administrativo sancionador. Sin embargo, este inicio nos trae interrogantes como ¿era la Comisión la autoridad con competencia para realizar el inicio?, ante la ausencia de informe técnico y la participación de la Secretaría Técnica en el procedimiento ¿era importante la etapa de instrucción?, ¿fue respetad</w:t>
      </w:r>
      <w:r>
        <w:t>a la garantía</w:t>
      </w:r>
      <w:r>
        <w:rPr>
          <w:color w:val="000000"/>
        </w:rPr>
        <w:t xml:space="preserve"> de separación funcional?, entre otras dudas. Para dar respuesta a estas interrogantes, resulta necesario comprender las disposiciones legales vigentes al 2009 que son fundamento del procedimiento administrativo sancionador por infracciones a la Ley 26876.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No obstante, de la revisión de la casuística en materia administrativa sancionadora a partir de la Ley 26876 observamos que no es abundante y no es posible encontrar, al 2019, procedimientos administrativos sancionadores resueltos en un expediente independiente, siendo el caso de Enel el segundo, y último desde el año 2009 que ha ameritado la imposición de una sanción. Aún más, el caso Enel es el primero en ser resuelto bajo la Ley 27444, que ha motivado la potestad sancionadora de Indecopi respecto a la norma de concentraciones.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Ahora bien, ¿qué garantías respecto al inicio del procedimiento administrativo sancionador nos ofrece la Ley 26876? Lo único que nos informa la Ley 26876 es la tipificación de las infracciones, es decir, la mención expresa a qué conductas identifican como contrarias al propósito de la Ley 26876 y su respectiva consecuencia. Sin embargo, más allá de la tipificación, la Ley 26876 hace referencia</w:t>
      </w:r>
      <w:r w:rsidR="00324395">
        <w:rPr>
          <w:color w:val="000000"/>
        </w:rPr>
        <w:t xml:space="preserve"> en su artículo 11</w:t>
      </w:r>
      <w:r>
        <w:rPr>
          <w:color w:val="000000"/>
        </w:rPr>
        <w:t xml:space="preserve"> que lo relativo a los procedimientos que deban realizarse a partir de infracciones a la norma, en materia de </w:t>
      </w:r>
      <w:r>
        <w:rPr>
          <w:color w:val="000000"/>
        </w:rPr>
        <w:lastRenderedPageBreak/>
        <w:t xml:space="preserve">procedimiento, deberán ser complementados por las disposiciones de los Decretos Legislativos 701 y 807. </w:t>
      </w:r>
      <w:r w:rsidR="00135A7E">
        <w:rPr>
          <w:color w:val="000000"/>
        </w:rPr>
        <w:t xml:space="preserve"> </w:t>
      </w:r>
      <w:r>
        <w:rPr>
          <w:color w:val="000000"/>
        </w:rPr>
        <w:t>Esta situación varía ligeramente con la inclusión en el ordenamiento jurídico del Reglamento de la Ley 26876, el cual, añade disposiciones relativas al procedimiento relevantes y, fundamentales para el tema de separación funcional discutido en esta sección.</w:t>
      </w:r>
    </w:p>
    <w:p w:rsidR="00EE68FD" w:rsidRDefault="005A478B" w:rsidP="00123ED2">
      <w:pPr>
        <w:pStyle w:val="Ttulo4"/>
        <w:numPr>
          <w:ilvl w:val="3"/>
          <w:numId w:val="3"/>
        </w:numPr>
        <w:spacing w:line="360" w:lineRule="auto"/>
        <w:rPr>
          <w:color w:val="000000"/>
        </w:rPr>
      </w:pPr>
      <w:bookmarkStart w:id="21" w:name="_Toc47387728"/>
      <w:r>
        <w:rPr>
          <w:color w:val="000000"/>
        </w:rPr>
        <w:t>El caso concreto, ¿era la Comisión el órgano competente para iniciar los procedimientos de infracciones a la Ley 26876?</w:t>
      </w:r>
      <w:bookmarkEnd w:id="21"/>
    </w:p>
    <w:p w:rsidR="00EE68FD" w:rsidRPr="00EE68FD" w:rsidRDefault="00EE68FD" w:rsidP="00D936C4">
      <w:pPr>
        <w:spacing w:line="360" w:lineRule="auto"/>
        <w:jc w:val="both"/>
        <w:rPr>
          <w:color w:val="000000"/>
        </w:rPr>
      </w:pPr>
      <w:r w:rsidRPr="00EE68FD">
        <w:rPr>
          <w:color w:val="000000"/>
        </w:rPr>
        <w:t>El Reglamento</w:t>
      </w:r>
      <w:r w:rsidR="000A7F18">
        <w:rPr>
          <w:color w:val="000000"/>
        </w:rPr>
        <w:t xml:space="preserve"> de la Ley 26876</w:t>
      </w:r>
      <w:r w:rsidRPr="00EE68FD">
        <w:rPr>
          <w:color w:val="000000"/>
        </w:rPr>
        <w:t xml:space="preserve"> </w:t>
      </w:r>
      <w:r w:rsidR="000A7F18">
        <w:rPr>
          <w:color w:val="000000"/>
        </w:rPr>
        <w:t>contiene</w:t>
      </w:r>
      <w:r w:rsidRPr="00EE68FD">
        <w:rPr>
          <w:color w:val="000000"/>
        </w:rPr>
        <w:t xml:space="preserve"> </w:t>
      </w:r>
      <w:r w:rsidR="000A7F18">
        <w:rPr>
          <w:color w:val="000000"/>
        </w:rPr>
        <w:t>disposiciones</w:t>
      </w:r>
      <w:r w:rsidRPr="00EE68FD">
        <w:rPr>
          <w:color w:val="000000"/>
        </w:rPr>
        <w:t xml:space="preserve"> relativas al procedimiento. De los artículos 30 y 39 del Reglamento se observa una competencia expresa otorgada a la Secretaría Técnica para el inicio e instrucción del procedimiento administrativo sancionador.</w:t>
      </w:r>
    </w:p>
    <w:p w:rsidR="00EE68FD" w:rsidRPr="00EE68FD" w:rsidRDefault="00EE68FD" w:rsidP="00D936C4">
      <w:pPr>
        <w:pStyle w:val="Prrafodelista"/>
        <w:spacing w:line="360" w:lineRule="auto"/>
        <w:ind w:left="1080"/>
        <w:jc w:val="both"/>
        <w:rPr>
          <w:color w:val="000000"/>
        </w:rPr>
      </w:pPr>
    </w:p>
    <w:p w:rsidR="00EE68FD" w:rsidRPr="00EE68FD" w:rsidRDefault="00EE68FD" w:rsidP="00D936C4">
      <w:pPr>
        <w:pStyle w:val="Prrafodelista"/>
        <w:pBdr>
          <w:top w:val="nil"/>
          <w:left w:val="nil"/>
          <w:bottom w:val="nil"/>
          <w:right w:val="nil"/>
          <w:between w:val="nil"/>
        </w:pBdr>
        <w:spacing w:line="360" w:lineRule="auto"/>
        <w:ind w:left="1080"/>
        <w:jc w:val="both"/>
        <w:rPr>
          <w:b/>
          <w:color w:val="000000"/>
          <w:sz w:val="20"/>
          <w:szCs w:val="20"/>
        </w:rPr>
      </w:pPr>
      <w:r w:rsidRPr="00EE68FD">
        <w:rPr>
          <w:b/>
          <w:color w:val="000000"/>
          <w:sz w:val="20"/>
          <w:szCs w:val="20"/>
        </w:rPr>
        <w:t>Reglamento de la Ley 26876</w:t>
      </w:r>
    </w:p>
    <w:p w:rsidR="00EE68FD" w:rsidRPr="00EE68FD" w:rsidRDefault="00EE68FD" w:rsidP="00D936C4">
      <w:pPr>
        <w:pStyle w:val="Prrafodelista"/>
        <w:pBdr>
          <w:top w:val="nil"/>
          <w:left w:val="nil"/>
          <w:bottom w:val="nil"/>
          <w:right w:val="nil"/>
          <w:between w:val="nil"/>
        </w:pBdr>
        <w:spacing w:line="360" w:lineRule="auto"/>
        <w:ind w:left="1080"/>
        <w:jc w:val="both"/>
        <w:rPr>
          <w:b/>
          <w:color w:val="000000"/>
          <w:sz w:val="20"/>
          <w:szCs w:val="20"/>
        </w:rPr>
      </w:pPr>
      <w:r w:rsidRPr="00EE68FD">
        <w:rPr>
          <w:color w:val="000000"/>
          <w:sz w:val="20"/>
          <w:szCs w:val="20"/>
        </w:rPr>
        <w:t xml:space="preserve">Artículo 30.- Investigaciones de oficio. </w:t>
      </w:r>
      <w:r w:rsidRPr="00EE68FD">
        <w:rPr>
          <w:b/>
          <w:color w:val="000000"/>
          <w:sz w:val="20"/>
          <w:szCs w:val="20"/>
        </w:rPr>
        <w:t xml:space="preserve">Con el objeto de verificar el cumplimiento de las obligaciones impuestas por la Ley o el presente Reglamento, la Secretaría podrá iniciar una investigación de oficio </w:t>
      </w:r>
      <w:r w:rsidRPr="000A7F18">
        <w:rPr>
          <w:b/>
          <w:i/>
          <w:iCs/>
          <w:color w:val="000000"/>
          <w:sz w:val="20"/>
          <w:szCs w:val="20"/>
        </w:rPr>
        <w:t>previa aprobación de la Comisión</w:t>
      </w:r>
      <w:r w:rsidRPr="00EE68FD">
        <w:rPr>
          <w:b/>
          <w:color w:val="000000"/>
          <w:sz w:val="20"/>
          <w:szCs w:val="20"/>
        </w:rPr>
        <w:t xml:space="preserve"> (...) </w:t>
      </w:r>
      <w:r w:rsidRPr="00EE68FD">
        <w:rPr>
          <w:color w:val="000000"/>
          <w:sz w:val="20"/>
          <w:szCs w:val="20"/>
        </w:rPr>
        <w:t xml:space="preserve">en contra de las Personas o empresas participantes en una Operación de Concentración </w:t>
      </w:r>
      <w:r w:rsidRPr="00EE68FD">
        <w:rPr>
          <w:b/>
          <w:color w:val="000000"/>
          <w:sz w:val="20"/>
          <w:szCs w:val="20"/>
        </w:rPr>
        <w:t>con arreglo a las normas de procedimiento contenidas en el Decreto (Decreto Legislativo No 701, Ley sobre Eliminación de Prácticas Monopólicas, Controlistas y Restrictivas de la Libre Competencia)(...).</w:t>
      </w:r>
    </w:p>
    <w:p w:rsidR="00EE68FD" w:rsidRPr="00EE68FD" w:rsidRDefault="00EE68FD" w:rsidP="00D936C4">
      <w:pPr>
        <w:pStyle w:val="Prrafodelista"/>
        <w:pBdr>
          <w:top w:val="nil"/>
          <w:left w:val="nil"/>
          <w:bottom w:val="nil"/>
          <w:right w:val="nil"/>
          <w:between w:val="nil"/>
        </w:pBdr>
        <w:spacing w:line="360" w:lineRule="auto"/>
        <w:ind w:left="1080"/>
        <w:jc w:val="both"/>
        <w:rPr>
          <w:color w:val="000000"/>
          <w:sz w:val="22"/>
          <w:szCs w:val="22"/>
        </w:rPr>
      </w:pPr>
    </w:p>
    <w:p w:rsidR="00EE68FD" w:rsidRPr="00EE68FD" w:rsidRDefault="00EE68FD" w:rsidP="00D936C4">
      <w:pPr>
        <w:pBdr>
          <w:top w:val="nil"/>
          <w:left w:val="nil"/>
          <w:bottom w:val="nil"/>
          <w:right w:val="nil"/>
          <w:between w:val="nil"/>
        </w:pBdr>
        <w:spacing w:line="360" w:lineRule="auto"/>
        <w:jc w:val="both"/>
        <w:rPr>
          <w:color w:val="000000"/>
        </w:rPr>
      </w:pPr>
      <w:r w:rsidRPr="00EE68FD">
        <w:rPr>
          <w:color w:val="000000"/>
        </w:rPr>
        <w:t>En el mismo sentido, el artículo de plazo de prescripción para la realización de investigaciones reitera esta competencia otorgada a la Secretaría Técnica sobre el inicio:</w:t>
      </w:r>
    </w:p>
    <w:p w:rsidR="00EE68FD" w:rsidRPr="00EE68FD" w:rsidRDefault="00EE68FD" w:rsidP="00D936C4">
      <w:pPr>
        <w:pStyle w:val="Prrafodelista"/>
        <w:pBdr>
          <w:top w:val="nil"/>
          <w:left w:val="nil"/>
          <w:bottom w:val="nil"/>
          <w:right w:val="nil"/>
          <w:between w:val="nil"/>
        </w:pBdr>
        <w:spacing w:line="360" w:lineRule="auto"/>
        <w:ind w:left="1080"/>
        <w:jc w:val="both"/>
        <w:rPr>
          <w:color w:val="000000"/>
        </w:rPr>
      </w:pPr>
    </w:p>
    <w:p w:rsidR="001F214F" w:rsidRDefault="00EE68FD" w:rsidP="00D936C4">
      <w:pPr>
        <w:pStyle w:val="Prrafodelista"/>
        <w:pBdr>
          <w:top w:val="nil"/>
          <w:left w:val="nil"/>
          <w:bottom w:val="nil"/>
          <w:right w:val="nil"/>
          <w:between w:val="nil"/>
        </w:pBdr>
        <w:spacing w:line="360" w:lineRule="auto"/>
        <w:ind w:left="1080"/>
        <w:jc w:val="both"/>
        <w:rPr>
          <w:b/>
          <w:color w:val="000000"/>
          <w:sz w:val="20"/>
          <w:szCs w:val="20"/>
        </w:rPr>
      </w:pPr>
      <w:r w:rsidRPr="00EE68FD">
        <w:rPr>
          <w:b/>
          <w:color w:val="000000"/>
          <w:sz w:val="20"/>
          <w:szCs w:val="20"/>
        </w:rPr>
        <w:t>Reglamento de la Ley 26876</w:t>
      </w:r>
    </w:p>
    <w:p w:rsidR="00EE68FD" w:rsidRPr="00EE68FD" w:rsidRDefault="00EE68FD" w:rsidP="00D936C4">
      <w:pPr>
        <w:pStyle w:val="Prrafodelista"/>
        <w:pBdr>
          <w:top w:val="nil"/>
          <w:left w:val="nil"/>
          <w:bottom w:val="nil"/>
          <w:right w:val="nil"/>
          <w:between w:val="nil"/>
        </w:pBdr>
        <w:spacing w:line="360" w:lineRule="auto"/>
        <w:ind w:left="1080"/>
        <w:jc w:val="both"/>
        <w:rPr>
          <w:sz w:val="20"/>
          <w:szCs w:val="20"/>
        </w:rPr>
      </w:pPr>
      <w:r w:rsidRPr="00EE68FD">
        <w:rPr>
          <w:color w:val="000000"/>
          <w:sz w:val="20"/>
          <w:szCs w:val="20"/>
        </w:rPr>
        <w:t xml:space="preserve">Artículo 39.- Plazo de prescripción para las investigaciones. </w:t>
      </w:r>
      <w:r w:rsidRPr="00EE68FD">
        <w:rPr>
          <w:b/>
          <w:color w:val="000000"/>
          <w:sz w:val="20"/>
          <w:szCs w:val="20"/>
        </w:rPr>
        <w:t xml:space="preserve">La Secretaría podrá iniciar una investigación de oficio (...) en contra de las Personas o Empresas que Participan en una Operación de Concentración </w:t>
      </w:r>
      <w:r w:rsidRPr="00EE68FD">
        <w:rPr>
          <w:color w:val="000000"/>
          <w:sz w:val="20"/>
          <w:szCs w:val="20"/>
        </w:rPr>
        <w:t xml:space="preserve">que hubiera sido notificada acompañándola con información fraudulenta, que no hubiera sido notificada, </w:t>
      </w:r>
      <w:r w:rsidRPr="00EE68FD">
        <w:rPr>
          <w:b/>
          <w:color w:val="000000"/>
          <w:sz w:val="20"/>
          <w:szCs w:val="20"/>
        </w:rPr>
        <w:t>que a pesar de haber sido notificada se hubiera llevado a cabo antes de la decisión de la Comisión o de la Sala</w:t>
      </w:r>
      <w:r w:rsidRPr="00EE68FD">
        <w:rPr>
          <w:color w:val="000000"/>
          <w:sz w:val="20"/>
          <w:szCs w:val="20"/>
        </w:rPr>
        <w:t xml:space="preserve"> o en contra de lo decidido por ellas, dentro de un plazo máximo de cinco (5) años de ejecutado el último acto necesario para formalizar dicha operación. (...)</w:t>
      </w:r>
    </w:p>
    <w:p w:rsidR="00EE68FD" w:rsidRPr="00EE68FD" w:rsidRDefault="00EE68FD" w:rsidP="00D936C4">
      <w:pPr>
        <w:pStyle w:val="Prrafodelista"/>
        <w:pBdr>
          <w:top w:val="nil"/>
          <w:left w:val="nil"/>
          <w:bottom w:val="nil"/>
          <w:right w:val="nil"/>
          <w:between w:val="nil"/>
        </w:pBdr>
        <w:spacing w:line="360" w:lineRule="auto"/>
        <w:ind w:left="1080"/>
        <w:jc w:val="both"/>
        <w:rPr>
          <w:sz w:val="22"/>
          <w:szCs w:val="22"/>
        </w:rPr>
      </w:pPr>
    </w:p>
    <w:p w:rsidR="00EE68FD" w:rsidRPr="003B705D" w:rsidRDefault="00EE68FD" w:rsidP="003B705D">
      <w:pPr>
        <w:spacing w:after="200" w:line="360" w:lineRule="auto"/>
        <w:jc w:val="both"/>
        <w:rPr>
          <w:color w:val="000000"/>
        </w:rPr>
      </w:pPr>
      <w:r w:rsidRPr="009E79F9">
        <w:rPr>
          <w:color w:val="000000"/>
        </w:rPr>
        <w:lastRenderedPageBreak/>
        <w:t xml:space="preserve">No obstante la literalidad del artículo 30 del Reglamento citado podría surgir una duda respecto al rol de la Comisión en el inicio impulsado por la Secretaría Técnica al haber condicionado el inicio a una “previa aprobación de la Comisión”. </w:t>
      </w:r>
    </w:p>
    <w:p w:rsidR="00EE68FD" w:rsidRDefault="00EE68FD" w:rsidP="00123ED2">
      <w:pPr>
        <w:pStyle w:val="Ttulo4"/>
        <w:numPr>
          <w:ilvl w:val="4"/>
          <w:numId w:val="3"/>
        </w:numPr>
        <w:spacing w:line="360" w:lineRule="auto"/>
        <w:rPr>
          <w:color w:val="000000"/>
        </w:rPr>
      </w:pPr>
      <w:bookmarkStart w:id="22" w:name="_Toc47387729"/>
      <w:r w:rsidRPr="00EE68FD">
        <w:rPr>
          <w:color w:val="000000"/>
        </w:rPr>
        <w:t>El inicio del procedimiento administrativo sancionador en  el control de conductas,  Decreto Legislativo 701 y Decreto Legislativo 1034.</w:t>
      </w:r>
      <w:bookmarkEnd w:id="22"/>
    </w:p>
    <w:p w:rsidR="00EE68FD" w:rsidRDefault="00EE68FD" w:rsidP="00D936C4">
      <w:pPr>
        <w:pBdr>
          <w:top w:val="nil"/>
          <w:left w:val="nil"/>
          <w:bottom w:val="nil"/>
          <w:right w:val="nil"/>
          <w:between w:val="nil"/>
        </w:pBdr>
        <w:spacing w:line="360" w:lineRule="auto"/>
        <w:jc w:val="both"/>
        <w:rPr>
          <w:color w:val="000000"/>
        </w:rPr>
      </w:pPr>
      <w:r w:rsidRPr="006F768E">
        <w:rPr>
          <w:color w:val="000000"/>
        </w:rPr>
        <w:t xml:space="preserve">Como ha sido precisado líneas arriba, </w:t>
      </w:r>
      <w:r w:rsidR="003B705D">
        <w:rPr>
          <w:color w:val="000000"/>
        </w:rPr>
        <w:t xml:space="preserve">de </w:t>
      </w:r>
      <w:r w:rsidRPr="006F768E">
        <w:rPr>
          <w:color w:val="000000"/>
        </w:rPr>
        <w:t>los artículos 30 y 39 del Reglamento de la Ley 26876</w:t>
      </w:r>
      <w:r w:rsidR="003B705D">
        <w:rPr>
          <w:color w:val="000000"/>
        </w:rPr>
        <w:t xml:space="preserve"> se aprecia la intención expresa de</w:t>
      </w:r>
      <w:r w:rsidRPr="006F768E">
        <w:rPr>
          <w:color w:val="000000"/>
        </w:rPr>
        <w:t xml:space="preserve"> otorgarle a la Secretaría Técnica potestades sobre el inicio del procedimiento. Sin embargo, esta norma también posee en su artículo 30 la expresión “con la opinión favorable de la Comisión”, la cual nos obliga a identificar la real intención del legislador y, a su vez, la realidad de los procedimientos de libre competencia manejados, en un inicio por el Decreto Legislativo 701. </w:t>
      </w:r>
    </w:p>
    <w:p w:rsidR="00EE68FD" w:rsidRDefault="00EE68FD" w:rsidP="00D936C4">
      <w:pPr>
        <w:pBdr>
          <w:top w:val="nil"/>
          <w:left w:val="nil"/>
          <w:bottom w:val="nil"/>
          <w:right w:val="nil"/>
          <w:between w:val="nil"/>
        </w:pBdr>
        <w:spacing w:line="360" w:lineRule="auto"/>
        <w:jc w:val="both"/>
        <w:rPr>
          <w:color w:val="000000"/>
        </w:rPr>
      </w:pPr>
    </w:p>
    <w:p w:rsidR="00EE68FD" w:rsidRDefault="00EE68FD" w:rsidP="00D936C4">
      <w:pPr>
        <w:pBdr>
          <w:top w:val="nil"/>
          <w:left w:val="nil"/>
          <w:bottom w:val="nil"/>
          <w:right w:val="nil"/>
          <w:between w:val="nil"/>
        </w:pBdr>
        <w:spacing w:line="360" w:lineRule="auto"/>
        <w:jc w:val="both"/>
        <w:rPr>
          <w:color w:val="000000"/>
        </w:rPr>
      </w:pPr>
      <w:r>
        <w:rPr>
          <w:color w:val="000000"/>
        </w:rPr>
        <w:t xml:space="preserve">¿Fue legítimo en el caso Enel el inicio del procedimiento administrativo sancionador por parte de la Comisión? </w:t>
      </w:r>
      <w:r w:rsidR="003B705D">
        <w:rPr>
          <w:color w:val="000000"/>
        </w:rPr>
        <w:t xml:space="preserve">Como autora del Informe, </w:t>
      </w:r>
      <w:r>
        <w:rPr>
          <w:color w:val="000000"/>
        </w:rPr>
        <w:t xml:space="preserve"> considero que no fue correcto. </w:t>
      </w:r>
      <w:r w:rsidR="003B705D">
        <w:rPr>
          <w:color w:val="000000"/>
        </w:rPr>
        <w:t xml:space="preserve">En lo concerniente a dicha interrogante, </w:t>
      </w:r>
      <w:r>
        <w:rPr>
          <w:color w:val="000000"/>
        </w:rPr>
        <w:t xml:space="preserve">más allá de la literalidad de la norma, </w:t>
      </w:r>
      <w:r w:rsidR="003B705D">
        <w:rPr>
          <w:color w:val="000000"/>
        </w:rPr>
        <w:t xml:space="preserve">es necesario revisar </w:t>
      </w:r>
      <w:r>
        <w:rPr>
          <w:color w:val="000000"/>
        </w:rPr>
        <w:t xml:space="preserve">las remisiones dispuestas por la Ley 26876  a las normas de control de conductas, </w:t>
      </w:r>
      <w:r w:rsidR="003B705D">
        <w:rPr>
          <w:color w:val="000000"/>
        </w:rPr>
        <w:t xml:space="preserve">las </w:t>
      </w:r>
      <w:r>
        <w:rPr>
          <w:color w:val="000000"/>
        </w:rPr>
        <w:t>disposiciones generales del procedimiento y normas de organización y funciones del Indecopi.</w:t>
      </w:r>
    </w:p>
    <w:p w:rsidR="00024F80" w:rsidRDefault="00024F80" w:rsidP="00D936C4">
      <w:pPr>
        <w:pBdr>
          <w:top w:val="nil"/>
          <w:left w:val="nil"/>
          <w:bottom w:val="nil"/>
          <w:right w:val="nil"/>
          <w:between w:val="nil"/>
        </w:pBdr>
        <w:spacing w:line="360" w:lineRule="auto"/>
        <w:jc w:val="both"/>
        <w:rPr>
          <w:color w:val="000000"/>
        </w:rPr>
      </w:pPr>
    </w:p>
    <w:p w:rsidR="00EE68FD" w:rsidRDefault="00024F80" w:rsidP="00D936C4">
      <w:pPr>
        <w:pBdr>
          <w:top w:val="nil"/>
          <w:left w:val="nil"/>
          <w:bottom w:val="nil"/>
          <w:right w:val="nil"/>
          <w:between w:val="nil"/>
        </w:pBdr>
        <w:spacing w:line="360" w:lineRule="auto"/>
        <w:jc w:val="both"/>
        <w:rPr>
          <w:color w:val="000000"/>
        </w:rPr>
      </w:pPr>
      <w:r>
        <w:rPr>
          <w:color w:val="000000"/>
        </w:rPr>
        <w:t>Como ya ha sido expuesto líneas arriba, el desarrollo del procedimiento administrativo sancionador no fue abarcado en su totalidad por la Ley 26876 ni por su Reglamento. Para cubrir aquellos vacíos normativos,</w:t>
      </w:r>
      <w:r w:rsidR="00EE68FD">
        <w:rPr>
          <w:color w:val="000000"/>
        </w:rPr>
        <w:t xml:space="preserve"> </w:t>
      </w:r>
      <w:r>
        <w:rPr>
          <w:color w:val="000000"/>
        </w:rPr>
        <w:t xml:space="preserve">especial atención debía prestarse a </w:t>
      </w:r>
      <w:r w:rsidR="00EE68FD">
        <w:rPr>
          <w:color w:val="000000"/>
        </w:rPr>
        <w:t xml:space="preserve">la legislación complementaria en materia </w:t>
      </w:r>
      <w:r>
        <w:rPr>
          <w:color w:val="000000"/>
        </w:rPr>
        <w:t>sancionadora</w:t>
      </w:r>
      <w:r w:rsidR="00EE68FD">
        <w:rPr>
          <w:color w:val="000000"/>
        </w:rPr>
        <w:t xml:space="preserve"> más próxima al órgano decisor</w:t>
      </w:r>
      <w:r>
        <w:rPr>
          <w:color w:val="000000"/>
        </w:rPr>
        <w:t xml:space="preserve"> como fue, en el origen del sistema de control previo,</w:t>
      </w:r>
      <w:r w:rsidR="00EE68FD">
        <w:rPr>
          <w:color w:val="000000"/>
        </w:rPr>
        <w:t xml:space="preserve"> el Decreto Legislativo 701. Esta situación cobra sentido por los siguientes motivos: </w:t>
      </w:r>
    </w:p>
    <w:p w:rsidR="00EE68FD" w:rsidRDefault="00EE68FD" w:rsidP="00D936C4">
      <w:pPr>
        <w:pBdr>
          <w:top w:val="nil"/>
          <w:left w:val="nil"/>
          <w:bottom w:val="nil"/>
          <w:right w:val="nil"/>
          <w:between w:val="nil"/>
        </w:pBdr>
        <w:spacing w:line="360" w:lineRule="auto"/>
        <w:jc w:val="both"/>
        <w:rPr>
          <w:color w:val="000000"/>
        </w:rPr>
      </w:pPr>
    </w:p>
    <w:p w:rsidR="00EE68FD" w:rsidRDefault="00EE68FD" w:rsidP="00D936C4">
      <w:pPr>
        <w:numPr>
          <w:ilvl w:val="0"/>
          <w:numId w:val="4"/>
        </w:numPr>
        <w:pBdr>
          <w:top w:val="nil"/>
          <w:left w:val="nil"/>
          <w:bottom w:val="nil"/>
          <w:right w:val="nil"/>
          <w:between w:val="nil"/>
        </w:pBdr>
        <w:spacing w:line="360" w:lineRule="auto"/>
        <w:jc w:val="both"/>
        <w:rPr>
          <w:color w:val="000000"/>
        </w:rPr>
      </w:pPr>
      <w:r>
        <w:rPr>
          <w:color w:val="000000"/>
        </w:rPr>
        <w:t xml:space="preserve">La disposición </w:t>
      </w:r>
      <w:r>
        <w:rPr>
          <w:color w:val="000000"/>
          <w:u w:val="single"/>
        </w:rPr>
        <w:t>expresa</w:t>
      </w:r>
      <w:r>
        <w:rPr>
          <w:color w:val="000000"/>
        </w:rPr>
        <w:t xml:space="preserve"> </w:t>
      </w:r>
      <w:r w:rsidR="009E79F9">
        <w:rPr>
          <w:color w:val="000000"/>
        </w:rPr>
        <w:t xml:space="preserve"> en</w:t>
      </w:r>
      <w:r>
        <w:rPr>
          <w:color w:val="000000"/>
        </w:rPr>
        <w:t xml:space="preserve"> </w:t>
      </w:r>
      <w:r w:rsidR="009E79F9">
        <w:rPr>
          <w:color w:val="000000"/>
        </w:rPr>
        <w:t xml:space="preserve">el </w:t>
      </w:r>
      <w:r>
        <w:rPr>
          <w:color w:val="000000"/>
        </w:rPr>
        <w:t xml:space="preserve">artículos 11 de la Ley 26876 y artículo 30 y disposición </w:t>
      </w:r>
      <w:r>
        <w:t>única</w:t>
      </w:r>
      <w:r>
        <w:rPr>
          <w:color w:val="000000"/>
        </w:rPr>
        <w:t xml:space="preserve"> transitoria del Reglamento de la Ley 26876. Al respecto, estos artículos hacen referencia al Decreto Legislativo 701 y 807 como las normas a las que se debía recurrir en defecto de la Ley 26876.</w:t>
      </w:r>
    </w:p>
    <w:p w:rsidR="00EE68FD" w:rsidRDefault="00EE68FD" w:rsidP="00D936C4">
      <w:pPr>
        <w:numPr>
          <w:ilvl w:val="0"/>
          <w:numId w:val="4"/>
        </w:numPr>
        <w:pBdr>
          <w:top w:val="nil"/>
          <w:left w:val="nil"/>
          <w:bottom w:val="nil"/>
          <w:right w:val="nil"/>
          <w:between w:val="nil"/>
        </w:pBdr>
        <w:spacing w:line="360" w:lineRule="auto"/>
        <w:jc w:val="both"/>
        <w:rPr>
          <w:color w:val="000000"/>
        </w:rPr>
      </w:pPr>
      <w:r>
        <w:rPr>
          <w:color w:val="000000"/>
        </w:rPr>
        <w:lastRenderedPageBreak/>
        <w:t xml:space="preserve">La Comisión tenía bajo su cargo la defensa de la competencia tanto en control de estructuras, a partir de la Ley 26876 y el control de conductas en un primer momento, bajo el Decreto Legislativo 701. La norma </w:t>
      </w:r>
      <w:r>
        <w:rPr>
          <w:color w:val="000000"/>
          <w:u w:val="single"/>
        </w:rPr>
        <w:t xml:space="preserve">más próxima y sobre la que tenía </w:t>
      </w:r>
      <w:r>
        <w:rPr>
          <w:u w:val="single"/>
        </w:rPr>
        <w:t>más</w:t>
      </w:r>
      <w:r>
        <w:rPr>
          <w:color w:val="000000"/>
          <w:u w:val="single"/>
        </w:rPr>
        <w:t xml:space="preserve"> conocimiento</w:t>
      </w:r>
      <w:r>
        <w:rPr>
          <w:color w:val="000000"/>
        </w:rPr>
        <w:t xml:space="preserve"> la Comisión, a la fecha de la emisión de la norma de concentraciones en el año 1997, era la legislación de control de conductas</w:t>
      </w:r>
      <w:r w:rsidR="00024F80">
        <w:rPr>
          <w:color w:val="000000"/>
        </w:rPr>
        <w:t>.</w:t>
      </w:r>
    </w:p>
    <w:p w:rsidR="00EE68FD" w:rsidRDefault="00EE68FD" w:rsidP="00D936C4">
      <w:pPr>
        <w:pBdr>
          <w:top w:val="nil"/>
          <w:left w:val="nil"/>
          <w:bottom w:val="nil"/>
          <w:right w:val="nil"/>
          <w:between w:val="nil"/>
        </w:pBdr>
        <w:spacing w:line="360" w:lineRule="auto"/>
        <w:jc w:val="both"/>
        <w:rPr>
          <w:color w:val="000000"/>
        </w:rPr>
      </w:pPr>
    </w:p>
    <w:p w:rsidR="00EE68FD" w:rsidRDefault="00EE68FD" w:rsidP="00D936C4">
      <w:pPr>
        <w:pBdr>
          <w:top w:val="nil"/>
          <w:left w:val="nil"/>
          <w:bottom w:val="nil"/>
          <w:right w:val="nil"/>
          <w:between w:val="nil"/>
        </w:pBdr>
        <w:spacing w:line="360" w:lineRule="auto"/>
        <w:jc w:val="both"/>
        <w:rPr>
          <w:color w:val="000000"/>
        </w:rPr>
      </w:pPr>
      <w:r>
        <w:rPr>
          <w:color w:val="000000"/>
        </w:rPr>
        <w:t xml:space="preserve">Al respecto, el artículo 15 del Decreto Legislativo 701 vigente hasta el año 2008 reitera la “previa aprobación de la Comisión” para efectuar el inicio de los procedimientos. Sin perjuicio de lo anterior, </w:t>
      </w:r>
      <w:r w:rsidR="00024F80">
        <w:rPr>
          <w:color w:val="000000"/>
        </w:rPr>
        <w:t xml:space="preserve">en </w:t>
      </w:r>
      <w:r>
        <w:rPr>
          <w:color w:val="000000"/>
        </w:rPr>
        <w:t xml:space="preserve">la práctica </w:t>
      </w:r>
      <w:r w:rsidR="00024F80">
        <w:rPr>
          <w:color w:val="000000"/>
        </w:rPr>
        <w:t>se</w:t>
      </w:r>
      <w:r>
        <w:rPr>
          <w:color w:val="000000"/>
        </w:rPr>
        <w:t xml:space="preserve"> evidenció que la Comisión era </w:t>
      </w:r>
      <w:r w:rsidR="00024F80">
        <w:rPr>
          <w:color w:val="000000"/>
        </w:rPr>
        <w:t>el órgano que</w:t>
      </w:r>
      <w:r>
        <w:rPr>
          <w:color w:val="000000"/>
        </w:rPr>
        <w:t xml:space="preserve"> iniciaba la investigación, formulaba la imputación de cargos y decidía la imposición de la sanción correspondiente. Esta situación fue identificada como un problema en la Exposición de Motivos al Decreto Legislativo 1034, remitida el 24 de noviembre de 2008 mediante Oficio 650-2008-DP/SCM.</w:t>
      </w:r>
    </w:p>
    <w:p w:rsidR="00EE68FD" w:rsidRDefault="00EE68FD" w:rsidP="00D936C4">
      <w:pPr>
        <w:pBdr>
          <w:top w:val="nil"/>
          <w:left w:val="nil"/>
          <w:bottom w:val="nil"/>
          <w:right w:val="nil"/>
          <w:between w:val="nil"/>
        </w:pBdr>
        <w:spacing w:line="360" w:lineRule="auto"/>
        <w:jc w:val="both"/>
        <w:rPr>
          <w:color w:val="000000"/>
        </w:rPr>
      </w:pPr>
    </w:p>
    <w:p w:rsidR="00EE68FD" w:rsidRDefault="00EE68FD" w:rsidP="00D936C4">
      <w:pPr>
        <w:pBdr>
          <w:top w:val="nil"/>
          <w:left w:val="nil"/>
          <w:bottom w:val="nil"/>
          <w:right w:val="nil"/>
          <w:between w:val="nil"/>
        </w:pBdr>
        <w:spacing w:line="360" w:lineRule="auto"/>
        <w:ind w:left="720"/>
        <w:jc w:val="both"/>
        <w:rPr>
          <w:color w:val="000000"/>
          <w:sz w:val="20"/>
          <w:szCs w:val="20"/>
        </w:rPr>
      </w:pPr>
      <w:r w:rsidRPr="00324395">
        <w:rPr>
          <w:b/>
          <w:color w:val="000000"/>
          <w:sz w:val="20"/>
          <w:szCs w:val="20"/>
        </w:rPr>
        <w:t>Exposición de Motivos del Decreto Legislativo 1034</w:t>
      </w:r>
    </w:p>
    <w:p w:rsidR="00EE68FD" w:rsidRDefault="00EE68FD" w:rsidP="00D936C4">
      <w:pPr>
        <w:pBdr>
          <w:top w:val="nil"/>
          <w:left w:val="nil"/>
          <w:bottom w:val="nil"/>
          <w:right w:val="nil"/>
          <w:between w:val="nil"/>
        </w:pBdr>
        <w:spacing w:line="360" w:lineRule="auto"/>
        <w:ind w:left="720"/>
        <w:jc w:val="both"/>
        <w:rPr>
          <w:color w:val="000000"/>
          <w:sz w:val="20"/>
          <w:szCs w:val="20"/>
        </w:rPr>
      </w:pPr>
      <w:r w:rsidRPr="00324395">
        <w:rPr>
          <w:color w:val="000000"/>
          <w:sz w:val="20"/>
          <w:szCs w:val="20"/>
        </w:rPr>
        <w:t>Principales deficiencias en el DL 701</w:t>
      </w:r>
      <w:r>
        <w:rPr>
          <w:color w:val="000000"/>
          <w:sz w:val="20"/>
          <w:szCs w:val="20"/>
        </w:rPr>
        <w:t xml:space="preserve"> </w:t>
      </w:r>
      <w:r w:rsidRPr="00324395">
        <w:rPr>
          <w:color w:val="000000"/>
          <w:sz w:val="20"/>
          <w:szCs w:val="20"/>
        </w:rPr>
        <w:t>(…)</w:t>
      </w:r>
    </w:p>
    <w:p w:rsidR="00EE68FD" w:rsidRDefault="00EE68FD" w:rsidP="00D936C4">
      <w:pPr>
        <w:pBdr>
          <w:top w:val="nil"/>
          <w:left w:val="nil"/>
          <w:bottom w:val="nil"/>
          <w:right w:val="nil"/>
          <w:between w:val="nil"/>
        </w:pBdr>
        <w:spacing w:line="360" w:lineRule="auto"/>
        <w:ind w:left="720"/>
        <w:jc w:val="both"/>
        <w:rPr>
          <w:color w:val="000000"/>
          <w:sz w:val="20"/>
          <w:szCs w:val="20"/>
        </w:rPr>
      </w:pPr>
      <w:r w:rsidRPr="00324395">
        <w:rPr>
          <w:color w:val="000000"/>
          <w:sz w:val="20"/>
          <w:szCs w:val="20"/>
        </w:rPr>
        <w:t xml:space="preserve">El rol instructor de la Secretaría Técnica: </w:t>
      </w:r>
    </w:p>
    <w:p w:rsidR="00EE68FD" w:rsidRPr="00324395" w:rsidRDefault="00EE68FD" w:rsidP="00D936C4">
      <w:pPr>
        <w:pBdr>
          <w:top w:val="nil"/>
          <w:left w:val="nil"/>
          <w:bottom w:val="nil"/>
          <w:right w:val="nil"/>
          <w:between w:val="nil"/>
        </w:pBdr>
        <w:spacing w:line="360" w:lineRule="auto"/>
        <w:ind w:left="720"/>
        <w:jc w:val="both"/>
        <w:rPr>
          <w:color w:val="000000"/>
          <w:sz w:val="20"/>
          <w:szCs w:val="20"/>
        </w:rPr>
      </w:pPr>
      <w:r w:rsidRPr="002E3634">
        <w:rPr>
          <w:color w:val="000000"/>
          <w:sz w:val="20"/>
          <w:szCs w:val="20"/>
          <w:u w:val="single"/>
        </w:rPr>
        <w:t xml:space="preserve">La poca claridad que existe con relación al rol instructor de la Secretaría Técnica. </w:t>
      </w:r>
      <w:r w:rsidRPr="002E3634">
        <w:rPr>
          <w:color w:val="000000"/>
          <w:sz w:val="20"/>
          <w:szCs w:val="20"/>
          <w:u w:val="single"/>
        </w:rPr>
        <w:br/>
        <w:t>Los artículos 15 y 22 del Decreto Legislativo del DL 701 darían a entender que quien debería iniciar la investigación por denuncia de parte es la Secretaría Técnica, lo que sería coherente con los otros actos de instructor de dicha autoridad</w:t>
      </w:r>
      <w:r>
        <w:rPr>
          <w:color w:val="000000"/>
          <w:sz w:val="20"/>
          <w:szCs w:val="20"/>
        </w:rPr>
        <w:t xml:space="preserve"> (…) </w:t>
      </w:r>
      <w:r w:rsidRPr="00324395">
        <w:rPr>
          <w:color w:val="000000"/>
          <w:sz w:val="20"/>
          <w:szCs w:val="20"/>
        </w:rPr>
        <w:t xml:space="preserve">Sin embargo, </w:t>
      </w:r>
      <w:r>
        <w:rPr>
          <w:color w:val="000000"/>
          <w:sz w:val="20"/>
          <w:szCs w:val="20"/>
        </w:rPr>
        <w:t xml:space="preserve">(…) </w:t>
      </w:r>
      <w:r w:rsidRPr="002E3634">
        <w:rPr>
          <w:color w:val="000000"/>
          <w:sz w:val="20"/>
          <w:szCs w:val="20"/>
        </w:rPr>
        <w:t xml:space="preserve">lo que viene sucediendo es que la Comisión es quien formula la imputación de cargos y luego la que declara la existencia de infracción e impone la sanción correspondiente. </w:t>
      </w:r>
      <w:r w:rsidRPr="00324395">
        <w:rPr>
          <w:color w:val="000000"/>
          <w:sz w:val="20"/>
          <w:szCs w:val="20"/>
        </w:rPr>
        <w:t>Un procedimiento sancionador más “garantista” del derecho de defensa de las empresas investigadas exige que sea el instructor, la Secretaría Técnica, quien efectúe la imputación de cargos, mientras que el órgano de decisión, la Comisión, desde una tercera posición y sin estar contaminada de los indicios primigenios, sea quien decida si hay o no infracción (Presidencia de Consejo de Ministros 2008: 7-8).</w:t>
      </w:r>
    </w:p>
    <w:p w:rsidR="00EE68FD" w:rsidRDefault="00EE68FD" w:rsidP="00D936C4">
      <w:pPr>
        <w:pBdr>
          <w:top w:val="nil"/>
          <w:left w:val="nil"/>
          <w:bottom w:val="nil"/>
          <w:right w:val="nil"/>
          <w:between w:val="nil"/>
        </w:pBdr>
        <w:spacing w:line="360" w:lineRule="auto"/>
        <w:ind w:left="720"/>
        <w:jc w:val="both"/>
        <w:rPr>
          <w:color w:val="000000"/>
          <w:sz w:val="22"/>
          <w:szCs w:val="22"/>
        </w:rPr>
      </w:pPr>
    </w:p>
    <w:p w:rsidR="00EE68FD" w:rsidRDefault="00EE68FD" w:rsidP="00D936C4">
      <w:pPr>
        <w:pBdr>
          <w:top w:val="nil"/>
          <w:left w:val="nil"/>
          <w:bottom w:val="nil"/>
          <w:right w:val="nil"/>
          <w:between w:val="nil"/>
        </w:pBdr>
        <w:spacing w:line="360" w:lineRule="auto"/>
        <w:jc w:val="both"/>
        <w:rPr>
          <w:color w:val="000000"/>
        </w:rPr>
      </w:pPr>
      <w:r>
        <w:rPr>
          <w:color w:val="000000"/>
        </w:rPr>
        <w:t xml:space="preserve">Considerando esta deficiencia, se identificó que era preciso </w:t>
      </w:r>
      <w:r>
        <w:t>determinar</w:t>
      </w:r>
      <w:r>
        <w:rPr>
          <w:color w:val="000000"/>
        </w:rPr>
        <w:t xml:space="preserve"> el rol de la Secretaría Técnica, teniendo en cuenta la orientación garantista ya establecida por las normas generales del procedimiento administrativo. Por ello, en la misma Exposición de Motivos se precisó lo siguiente:</w:t>
      </w:r>
    </w:p>
    <w:p w:rsidR="00EE68FD" w:rsidRDefault="00EE68FD" w:rsidP="00D936C4">
      <w:pPr>
        <w:pBdr>
          <w:top w:val="nil"/>
          <w:left w:val="nil"/>
          <w:bottom w:val="nil"/>
          <w:right w:val="nil"/>
          <w:between w:val="nil"/>
        </w:pBdr>
        <w:spacing w:line="360" w:lineRule="auto"/>
        <w:jc w:val="both"/>
        <w:rPr>
          <w:color w:val="000000"/>
        </w:rPr>
      </w:pPr>
    </w:p>
    <w:p w:rsidR="00EE68FD" w:rsidRDefault="00EE68FD" w:rsidP="00D936C4">
      <w:pPr>
        <w:spacing w:line="360" w:lineRule="auto"/>
        <w:ind w:left="720"/>
        <w:jc w:val="both"/>
        <w:rPr>
          <w:color w:val="000000"/>
          <w:sz w:val="20"/>
          <w:szCs w:val="20"/>
        </w:rPr>
      </w:pPr>
      <w:r w:rsidRPr="00324395">
        <w:rPr>
          <w:b/>
          <w:color w:val="000000"/>
          <w:sz w:val="20"/>
          <w:szCs w:val="20"/>
        </w:rPr>
        <w:t>Exposición de Motivos del Decreto Legislativo 1034</w:t>
      </w:r>
    </w:p>
    <w:p w:rsidR="00EE68FD" w:rsidRDefault="00EE68FD" w:rsidP="00D936C4">
      <w:pPr>
        <w:spacing w:line="360" w:lineRule="auto"/>
        <w:ind w:left="720"/>
        <w:jc w:val="both"/>
        <w:rPr>
          <w:color w:val="000000"/>
          <w:sz w:val="20"/>
          <w:szCs w:val="20"/>
        </w:rPr>
      </w:pPr>
      <w:r w:rsidRPr="00324395">
        <w:rPr>
          <w:color w:val="000000"/>
          <w:sz w:val="20"/>
          <w:szCs w:val="20"/>
        </w:rPr>
        <w:lastRenderedPageBreak/>
        <w:t xml:space="preserve">4. Las autoridades de defensa de la competencia </w:t>
      </w:r>
    </w:p>
    <w:p w:rsidR="00EE68FD" w:rsidRDefault="00EE68FD" w:rsidP="00D936C4">
      <w:pPr>
        <w:spacing w:line="360" w:lineRule="auto"/>
        <w:ind w:left="720"/>
        <w:jc w:val="both"/>
        <w:rPr>
          <w:color w:val="000000"/>
          <w:sz w:val="20"/>
          <w:szCs w:val="20"/>
        </w:rPr>
      </w:pPr>
      <w:r w:rsidRPr="00324395">
        <w:rPr>
          <w:color w:val="000000"/>
          <w:sz w:val="20"/>
          <w:szCs w:val="20"/>
        </w:rPr>
        <w:t>La Comisión y la Secretaría Técnica</w:t>
      </w:r>
    </w:p>
    <w:p w:rsidR="00EE68FD" w:rsidRPr="00324395" w:rsidRDefault="00EE68FD" w:rsidP="00D936C4">
      <w:pPr>
        <w:spacing w:line="360" w:lineRule="auto"/>
        <w:ind w:left="720"/>
        <w:jc w:val="both"/>
        <w:rPr>
          <w:color w:val="000000"/>
          <w:sz w:val="20"/>
          <w:szCs w:val="20"/>
        </w:rPr>
      </w:pPr>
      <w:r w:rsidRPr="002E3634">
        <w:rPr>
          <w:color w:val="000000"/>
          <w:sz w:val="20"/>
          <w:szCs w:val="20"/>
        </w:rPr>
        <w:t xml:space="preserve">A través de los artículos 13 al 15 del Decreto Legislativo se ha diferenciado con mayor precisión las facultades y atribuciones asignadas al órgano resolutivo-es decir, la Comisión-, de aquellas otorgadas al órgano instructor, entendiéndose por este último a su Secretaría Técnica. </w:t>
      </w:r>
      <w:r w:rsidRPr="00024F80">
        <w:rPr>
          <w:color w:val="000000"/>
          <w:sz w:val="20"/>
          <w:szCs w:val="20"/>
          <w:u w:val="single"/>
        </w:rPr>
        <w:t>La finalidad es establecer en el marco del procedimiento sancionador, la independencia e imparcialidad  del órgano que decide la controversia respecto de aquél que se encargará de instruir y sustentar los cargos que sostienen la imputación contra los investigados.</w:t>
      </w:r>
      <w:r w:rsidRPr="002E3634">
        <w:rPr>
          <w:color w:val="000000"/>
          <w:sz w:val="20"/>
          <w:szCs w:val="20"/>
        </w:rPr>
        <w:t xml:space="preserve"> Por ello, esta división funcional entre ambos órganos es considerada como una de las características esenciales que debería regir el procedimiento sancionador, conforme lo establecen las normas generales recogidas en la Ley 27444. </w:t>
      </w:r>
      <w:r w:rsidRPr="00324395">
        <w:rPr>
          <w:color w:val="000000"/>
          <w:sz w:val="20"/>
          <w:szCs w:val="20"/>
        </w:rPr>
        <w:t>(...) (Presidencia de Consejo de Ministros 2008: 13-14).</w:t>
      </w:r>
    </w:p>
    <w:p w:rsidR="00EE68FD" w:rsidRDefault="00EE68FD" w:rsidP="00D936C4">
      <w:pPr>
        <w:spacing w:line="360" w:lineRule="auto"/>
        <w:ind w:left="720"/>
        <w:jc w:val="both"/>
        <w:rPr>
          <w:color w:val="000000"/>
          <w:sz w:val="22"/>
          <w:szCs w:val="22"/>
        </w:rPr>
      </w:pPr>
    </w:p>
    <w:p w:rsidR="00EE68FD" w:rsidRDefault="00EE68FD" w:rsidP="00D936C4">
      <w:pPr>
        <w:pBdr>
          <w:top w:val="nil"/>
          <w:left w:val="nil"/>
          <w:bottom w:val="nil"/>
          <w:right w:val="nil"/>
          <w:between w:val="nil"/>
        </w:pBdr>
        <w:spacing w:line="360" w:lineRule="auto"/>
        <w:jc w:val="both"/>
        <w:rPr>
          <w:color w:val="000000"/>
        </w:rPr>
      </w:pPr>
      <w:r>
        <w:rPr>
          <w:color w:val="000000"/>
        </w:rPr>
        <w:t>El Decreto Legislativo 1034 publicado en el diario oficial El Peruano el 25 de junio de 2008,</w:t>
      </w:r>
      <w:r>
        <w:t xml:space="preserve"> </w:t>
      </w:r>
      <w:r>
        <w:rPr>
          <w:color w:val="000000"/>
        </w:rPr>
        <w:t>diferenció, con mayor precisión, las facultades y atribuciones correspondientes al órgano resolutivo o Comisión de aquellas que se otorgó al órgano instructor como la Secretaría, reconociendo para ello q</w:t>
      </w:r>
      <w:r>
        <w:t>ue dicha división respondía a un carácter esencial del régimen sancionador</w:t>
      </w:r>
      <w:r>
        <w:rPr>
          <w:color w:val="000000"/>
        </w:rPr>
        <w:t>. Sobre el particular, el artículo 15 del citado Decreto Legislativo dispone que el Secretario Técnico es quien dispone el inicio del procedimiento administrativo sancionador. Con ello, se traslad</w:t>
      </w:r>
      <w:r>
        <w:t xml:space="preserve">ó a la libre competencia </w:t>
      </w:r>
      <w:r>
        <w:rPr>
          <w:color w:val="000000"/>
        </w:rPr>
        <w:t xml:space="preserve">la independencia e imparcialidad del órgano que decida la controversia como sería en este caso la separación de la Secretaría Técnica de la Comisión. </w:t>
      </w:r>
    </w:p>
    <w:p w:rsidR="00024F80" w:rsidRDefault="00024F80" w:rsidP="00D936C4">
      <w:pPr>
        <w:pBdr>
          <w:top w:val="nil"/>
          <w:left w:val="nil"/>
          <w:bottom w:val="nil"/>
          <w:right w:val="nil"/>
          <w:between w:val="nil"/>
        </w:pBdr>
        <w:spacing w:line="360" w:lineRule="auto"/>
        <w:jc w:val="both"/>
        <w:rPr>
          <w:color w:val="000000"/>
        </w:rPr>
      </w:pPr>
    </w:p>
    <w:p w:rsidR="00EE68FD" w:rsidRDefault="00EE68FD" w:rsidP="00D936C4">
      <w:pPr>
        <w:spacing w:line="360" w:lineRule="auto"/>
        <w:jc w:val="both"/>
        <w:rPr>
          <w:color w:val="000000"/>
        </w:rPr>
      </w:pPr>
      <w:r>
        <w:rPr>
          <w:color w:val="000000"/>
        </w:rPr>
        <w:t>Aún más, si llevamos el análisis de la separación funcional a la Ley de Procedimiento Administrativo General, aprobada en el año 2001, observamos que la separación funcional era, a la fecha del caso, uno de los caracteres del procedimiento administrativo sancionador.</w:t>
      </w:r>
    </w:p>
    <w:p w:rsidR="00EE68FD" w:rsidRDefault="00EE68FD" w:rsidP="00D936C4">
      <w:pPr>
        <w:spacing w:line="360" w:lineRule="auto"/>
        <w:jc w:val="both"/>
        <w:rPr>
          <w:color w:val="000000"/>
        </w:rPr>
      </w:pPr>
    </w:p>
    <w:p w:rsidR="00EE68FD" w:rsidRPr="00324395" w:rsidRDefault="00EE68FD" w:rsidP="00D936C4">
      <w:pPr>
        <w:pBdr>
          <w:top w:val="nil"/>
          <w:left w:val="nil"/>
          <w:bottom w:val="nil"/>
          <w:right w:val="nil"/>
          <w:between w:val="nil"/>
        </w:pBdr>
        <w:spacing w:line="360" w:lineRule="auto"/>
        <w:ind w:left="720"/>
        <w:jc w:val="both"/>
        <w:rPr>
          <w:color w:val="000000"/>
          <w:sz w:val="20"/>
          <w:szCs w:val="20"/>
        </w:rPr>
      </w:pPr>
      <w:r w:rsidRPr="00324395">
        <w:rPr>
          <w:b/>
          <w:color w:val="000000"/>
          <w:sz w:val="20"/>
          <w:szCs w:val="20"/>
        </w:rPr>
        <w:t xml:space="preserve">Ley 27444, modificada por el </w:t>
      </w:r>
      <w:hyperlink r:id="rId16" w:anchor="JD_DLEG1029-A1">
        <w:r w:rsidRPr="00324395">
          <w:rPr>
            <w:b/>
            <w:color w:val="000000"/>
            <w:sz w:val="20"/>
            <w:szCs w:val="20"/>
          </w:rPr>
          <w:t>Decreto Legislativo Nº 1029</w:t>
        </w:r>
      </w:hyperlink>
      <w:r w:rsidRPr="00324395">
        <w:rPr>
          <w:b/>
          <w:color w:val="000000"/>
          <w:sz w:val="20"/>
          <w:szCs w:val="20"/>
        </w:rPr>
        <w:t xml:space="preserve"> publicado el 24 junio 2008</w:t>
      </w:r>
      <w:r w:rsidRPr="00324395">
        <w:rPr>
          <w:color w:val="000000"/>
          <w:sz w:val="20"/>
          <w:szCs w:val="20"/>
        </w:rPr>
        <w:br/>
        <w:t>Artículo 234.- Caracteres del procedimiento sancionador</w:t>
      </w:r>
    </w:p>
    <w:p w:rsidR="00EE68FD" w:rsidRPr="00324395" w:rsidRDefault="00EE68FD" w:rsidP="00D936C4">
      <w:pPr>
        <w:pBdr>
          <w:top w:val="nil"/>
          <w:left w:val="nil"/>
          <w:bottom w:val="nil"/>
          <w:right w:val="nil"/>
          <w:between w:val="nil"/>
        </w:pBdr>
        <w:spacing w:line="360" w:lineRule="auto"/>
        <w:ind w:left="720"/>
        <w:jc w:val="both"/>
        <w:rPr>
          <w:color w:val="000000"/>
          <w:sz w:val="20"/>
          <w:szCs w:val="20"/>
        </w:rPr>
      </w:pPr>
      <w:r w:rsidRPr="00324395">
        <w:rPr>
          <w:color w:val="000000"/>
          <w:sz w:val="20"/>
          <w:szCs w:val="20"/>
        </w:rPr>
        <w:t>Para el ejercicio de la potestad sancionadora se requiere obligatoriamente haber seguido el procedimiento legal o reglamentariamente</w:t>
      </w:r>
      <w:r>
        <w:rPr>
          <w:color w:val="000000"/>
          <w:sz w:val="20"/>
          <w:szCs w:val="20"/>
        </w:rPr>
        <w:t xml:space="preserve"> </w:t>
      </w:r>
      <w:r w:rsidRPr="00324395">
        <w:rPr>
          <w:color w:val="000000"/>
          <w:sz w:val="20"/>
          <w:szCs w:val="20"/>
        </w:rPr>
        <w:t>establecido caracterizado por:</w:t>
      </w:r>
    </w:p>
    <w:p w:rsidR="00EE68FD" w:rsidRDefault="00EE68FD" w:rsidP="00D936C4">
      <w:pPr>
        <w:pBdr>
          <w:top w:val="nil"/>
          <w:left w:val="nil"/>
          <w:bottom w:val="nil"/>
          <w:right w:val="nil"/>
          <w:between w:val="nil"/>
        </w:pBdr>
        <w:spacing w:line="360" w:lineRule="auto"/>
        <w:ind w:left="720"/>
        <w:jc w:val="both"/>
        <w:rPr>
          <w:color w:val="000000"/>
          <w:sz w:val="20"/>
          <w:szCs w:val="20"/>
        </w:rPr>
      </w:pPr>
      <w:r w:rsidRPr="00324395">
        <w:rPr>
          <w:b/>
          <w:color w:val="000000"/>
          <w:sz w:val="20"/>
          <w:szCs w:val="20"/>
        </w:rPr>
        <w:t>1. Diferenciar en su estructura entre la autoridad que conduce la fase instructora y la que decide la aplicación de la sanción, cuando la organización de la entidad lo permita.</w:t>
      </w:r>
    </w:p>
    <w:p w:rsidR="00EE68FD" w:rsidRDefault="00EE68FD" w:rsidP="00D936C4">
      <w:pPr>
        <w:pBdr>
          <w:top w:val="nil"/>
          <w:left w:val="nil"/>
          <w:bottom w:val="nil"/>
          <w:right w:val="nil"/>
          <w:between w:val="nil"/>
        </w:pBdr>
        <w:spacing w:line="360" w:lineRule="auto"/>
        <w:ind w:left="720"/>
        <w:jc w:val="both"/>
        <w:rPr>
          <w:b/>
          <w:color w:val="000000"/>
        </w:rPr>
      </w:pPr>
      <w:r>
        <w:rPr>
          <w:b/>
          <w:color w:val="000000"/>
        </w:rPr>
        <w:t xml:space="preserve"> </w:t>
      </w:r>
    </w:p>
    <w:p w:rsidR="00EE68FD" w:rsidRDefault="00EE68FD" w:rsidP="00D936C4">
      <w:pPr>
        <w:pBdr>
          <w:top w:val="nil"/>
          <w:left w:val="nil"/>
          <w:bottom w:val="nil"/>
          <w:right w:val="nil"/>
          <w:between w:val="nil"/>
        </w:pBdr>
        <w:spacing w:line="360" w:lineRule="auto"/>
        <w:jc w:val="both"/>
        <w:rPr>
          <w:color w:val="000000"/>
        </w:rPr>
      </w:pPr>
      <w:r>
        <w:rPr>
          <w:color w:val="000000"/>
        </w:rPr>
        <w:lastRenderedPageBreak/>
        <w:t xml:space="preserve">Como </w:t>
      </w:r>
      <w:r w:rsidR="00024F80">
        <w:rPr>
          <w:color w:val="000000"/>
        </w:rPr>
        <w:t>ha sido anotado</w:t>
      </w:r>
      <w:r>
        <w:rPr>
          <w:color w:val="000000"/>
        </w:rPr>
        <w:t xml:space="preserve">, la diferenciación entre autoridades para la conducción de la fase instructora y sancionadora era reconocida por la norma general del procedimiento sancionador como </w:t>
      </w:r>
      <w:r>
        <w:rPr>
          <w:color w:val="000000"/>
          <w:u w:val="single"/>
        </w:rPr>
        <w:t>fundamental</w:t>
      </w:r>
      <w:r>
        <w:rPr>
          <w:color w:val="000000"/>
        </w:rPr>
        <w:t xml:space="preserve">. No obstante, el artículo de la norma del procedimiento sancionador </w:t>
      </w:r>
      <w:r>
        <w:t xml:space="preserve">otorga cierto nivel de libertad </w:t>
      </w:r>
      <w:r>
        <w:rPr>
          <w:color w:val="000000"/>
        </w:rPr>
        <w:t>“cuando la organización de la entidad lo permita”. Cabe preguntarnos, ¿Indecopi p</w:t>
      </w:r>
      <w:r>
        <w:t>odía permitir</w:t>
      </w:r>
      <w:r>
        <w:rPr>
          <w:color w:val="000000"/>
        </w:rPr>
        <w:t xml:space="preserve"> </w:t>
      </w:r>
      <w:r>
        <w:t xml:space="preserve">la </w:t>
      </w:r>
      <w:r>
        <w:rPr>
          <w:color w:val="000000"/>
        </w:rPr>
        <w:t xml:space="preserve">separación en la organización? </w:t>
      </w:r>
    </w:p>
    <w:p w:rsidR="00EE68FD" w:rsidRPr="00EE68FD" w:rsidRDefault="00EE68FD" w:rsidP="00D936C4">
      <w:pPr>
        <w:spacing w:line="360" w:lineRule="auto"/>
      </w:pPr>
    </w:p>
    <w:p w:rsidR="00EE68FD" w:rsidRDefault="00EE68FD" w:rsidP="00123ED2">
      <w:pPr>
        <w:pStyle w:val="Ttulo4"/>
        <w:numPr>
          <w:ilvl w:val="4"/>
          <w:numId w:val="3"/>
        </w:numPr>
        <w:spacing w:line="360" w:lineRule="auto"/>
        <w:rPr>
          <w:color w:val="000000"/>
        </w:rPr>
      </w:pPr>
      <w:bookmarkStart w:id="23" w:name="_Toc47387730"/>
      <w:r w:rsidRPr="00EE68FD">
        <w:rPr>
          <w:color w:val="000000"/>
        </w:rPr>
        <w:t>¿Permitía la organización del Indecopi la separación funcional?</w:t>
      </w:r>
      <w:bookmarkEnd w:id="23"/>
    </w:p>
    <w:p w:rsidR="00ED5781" w:rsidRPr="00ED5781" w:rsidRDefault="00ED5781" w:rsidP="00D936C4">
      <w:pPr>
        <w:spacing w:line="360" w:lineRule="auto"/>
      </w:pPr>
    </w:p>
    <w:p w:rsidR="002355F1" w:rsidRDefault="005A478B" w:rsidP="00D936C4">
      <w:pPr>
        <w:pBdr>
          <w:top w:val="nil"/>
          <w:left w:val="nil"/>
          <w:bottom w:val="nil"/>
          <w:right w:val="nil"/>
          <w:between w:val="nil"/>
        </w:pBdr>
        <w:spacing w:line="360" w:lineRule="auto"/>
        <w:jc w:val="both"/>
        <w:rPr>
          <w:color w:val="000000"/>
        </w:rPr>
      </w:pPr>
      <w:r>
        <w:rPr>
          <w:color w:val="000000"/>
        </w:rPr>
        <w:t xml:space="preserve">Indecopi, tanto por el Decreto Legislativo 807, Ley de organización y funciones como por el Decreto Legislativo 1033 aprobado en el año 2008, sí permitía distinguir entre el órgano sancionador e instructor en materia Competencia. Aún más, el Decreto Legislativo 1033 recalca la necesidad de diferenciación de tareas y como esta diferenciación, según Exposición de Motivos del Decreto Legislativo 1033, </w:t>
      </w:r>
      <w:r w:rsidR="006F768E">
        <w:rPr>
          <w:color w:val="000000"/>
        </w:rPr>
        <w:t>tenía como propósito mantener</w:t>
      </w:r>
      <w:r>
        <w:rPr>
          <w:color w:val="000000"/>
        </w:rPr>
        <w:t xml:space="preserve"> sintonía con un procedimiento administrativo más garantista. </w:t>
      </w:r>
    </w:p>
    <w:p w:rsidR="002355F1" w:rsidRDefault="002355F1" w:rsidP="00D936C4">
      <w:pPr>
        <w:pBdr>
          <w:top w:val="nil"/>
          <w:left w:val="nil"/>
          <w:bottom w:val="nil"/>
          <w:right w:val="nil"/>
          <w:between w:val="nil"/>
        </w:pBdr>
        <w:spacing w:line="360" w:lineRule="auto"/>
        <w:jc w:val="both"/>
        <w:rPr>
          <w:color w:val="000000"/>
        </w:rPr>
      </w:pPr>
    </w:p>
    <w:p w:rsidR="002355F1" w:rsidRDefault="006F768E" w:rsidP="00D936C4">
      <w:pPr>
        <w:pBdr>
          <w:top w:val="nil"/>
          <w:left w:val="nil"/>
          <w:bottom w:val="nil"/>
          <w:right w:val="nil"/>
          <w:between w:val="nil"/>
        </w:pBdr>
        <w:spacing w:line="360" w:lineRule="auto"/>
        <w:jc w:val="both"/>
        <w:rPr>
          <w:color w:val="000000"/>
        </w:rPr>
      </w:pPr>
      <w:r>
        <w:rPr>
          <w:color w:val="000000"/>
        </w:rPr>
        <w:t>Así</w:t>
      </w:r>
      <w:r w:rsidR="005A478B">
        <w:rPr>
          <w:color w:val="000000"/>
        </w:rPr>
        <w:t>, a modo de recapitulación, el reglamento de la Ley 26876 le otorgaba de manera expresa la facultad a la Secretaría Técnica de iniciar el procedimiento sancionador. Sin embargo, la duda surgía ante la mención en el artículo 30 del Reglamento a la actuación del inicio de la Secretaría Técnica “previa aprobación de la Comisión”.</w:t>
      </w:r>
      <w:r w:rsidR="005A478B">
        <w:rPr>
          <w:b/>
          <w:color w:val="000000"/>
        </w:rPr>
        <w:t xml:space="preserve">  </w:t>
      </w:r>
      <w:r w:rsidR="005A478B">
        <w:rPr>
          <w:color w:val="000000"/>
        </w:rPr>
        <w:t>Por ello, recurrimos en el análisis a las normas procedimentales del Decreto Legislativo 701 el cual, hasta el 2008, repetía la fórmula de previa aprobación de la Comisión, situación que fue esclarecida con el Decreto Legislativo 1034, el cual contemplaba en su artículo 15 la competencia expresa de la Secretaría Técnica de los actos de inicio en materia sancionadora</w:t>
      </w:r>
      <w:r w:rsidR="005A478B">
        <w:rPr>
          <w:color w:val="000000"/>
          <w:vertAlign w:val="superscript"/>
        </w:rPr>
        <w:footnoteReference w:id="18"/>
      </w:r>
      <w:r w:rsidR="005A478B">
        <w:rPr>
          <w:color w:val="000000"/>
        </w:rPr>
        <w:t xml:space="preserve">. </w:t>
      </w:r>
    </w:p>
    <w:p w:rsidR="002355F1" w:rsidRDefault="002355F1" w:rsidP="00D936C4">
      <w:pPr>
        <w:pBdr>
          <w:top w:val="nil"/>
          <w:left w:val="nil"/>
          <w:bottom w:val="nil"/>
          <w:right w:val="nil"/>
          <w:between w:val="nil"/>
        </w:pBdr>
        <w:spacing w:line="360" w:lineRule="auto"/>
        <w:jc w:val="both"/>
      </w:pPr>
    </w:p>
    <w:p w:rsidR="002355F1" w:rsidRDefault="005A478B" w:rsidP="00D936C4">
      <w:pPr>
        <w:pBdr>
          <w:top w:val="nil"/>
          <w:left w:val="nil"/>
          <w:bottom w:val="nil"/>
          <w:right w:val="nil"/>
          <w:between w:val="nil"/>
        </w:pBdr>
        <w:spacing w:line="360" w:lineRule="auto"/>
        <w:jc w:val="both"/>
        <w:rPr>
          <w:b/>
          <w:color w:val="000000"/>
        </w:rPr>
      </w:pPr>
      <w:r>
        <w:rPr>
          <w:color w:val="000000"/>
        </w:rPr>
        <w:t xml:space="preserve">Sin perjuicio de la competencia expresa de la Secretaría Técnica, resulta importante dar un nuevo paso hacia las normas del procedimiento sancionador general, la cual sirve de guía a cualquier procedimiento sancionador impulsado por entidad administrativa. Al respecto, en el artículo 234 de la Ley 27444, como una de las garantías del procedimiento sancionador se </w:t>
      </w:r>
      <w:r>
        <w:rPr>
          <w:color w:val="000000"/>
        </w:rPr>
        <w:lastRenderedPageBreak/>
        <w:t>encuentra la separación de “la autoridad que conduce la fase instructora y la que decide la aplicación de la sanción, cuando la organización de la entidad lo permita”.</w:t>
      </w:r>
    </w:p>
    <w:p w:rsidR="002355F1" w:rsidRDefault="002355F1" w:rsidP="00D936C4">
      <w:pPr>
        <w:pBdr>
          <w:top w:val="nil"/>
          <w:left w:val="nil"/>
          <w:bottom w:val="nil"/>
          <w:right w:val="nil"/>
          <w:between w:val="nil"/>
        </w:pBdr>
        <w:spacing w:line="360" w:lineRule="auto"/>
        <w:jc w:val="both"/>
        <w:rPr>
          <w:b/>
          <w:color w:val="000000"/>
        </w:rPr>
      </w:pPr>
    </w:p>
    <w:p w:rsidR="002355F1" w:rsidRDefault="00D658B6" w:rsidP="00D658B6">
      <w:pPr>
        <w:pBdr>
          <w:top w:val="nil"/>
          <w:left w:val="nil"/>
          <w:bottom w:val="nil"/>
          <w:right w:val="nil"/>
          <w:between w:val="nil"/>
        </w:pBdr>
        <w:spacing w:line="360" w:lineRule="auto"/>
        <w:jc w:val="both"/>
        <w:rPr>
          <w:color w:val="000000"/>
        </w:rPr>
      </w:pPr>
      <w:r>
        <w:rPr>
          <w:color w:val="000000"/>
        </w:rPr>
        <w:t>En relación a la problemática expuesta,</w:t>
      </w:r>
      <w:r w:rsidR="005A478B">
        <w:rPr>
          <w:color w:val="000000"/>
        </w:rPr>
        <w:t xml:space="preserve"> </w:t>
      </w:r>
      <w:r>
        <w:rPr>
          <w:color w:val="000000"/>
        </w:rPr>
        <w:t>es necesario recurrir</w:t>
      </w:r>
      <w:r w:rsidR="005A478B">
        <w:rPr>
          <w:color w:val="000000"/>
        </w:rPr>
        <w:t xml:space="preserve"> a la normativa de organización interna de Indecopi vigente al año 2009, el Decreto Legislativo 1033</w:t>
      </w:r>
      <w:r>
        <w:rPr>
          <w:color w:val="000000"/>
        </w:rPr>
        <w:t xml:space="preserve">. Lo fundamental era observar </w:t>
      </w:r>
      <w:r w:rsidR="005A478B">
        <w:rPr>
          <w:color w:val="000000"/>
        </w:rPr>
        <w:t xml:space="preserve">si las reglas de organización y funciones permitía esta dicotomía entre órgano instructor y sancionador y si las competencias habían sido asignadas a la Secretaría Técnica y Comisión en ese sentido. </w:t>
      </w:r>
      <w:r>
        <w:rPr>
          <w:color w:val="000000"/>
        </w:rPr>
        <w:t xml:space="preserve">De la revisión, fue evidente que la </w:t>
      </w:r>
      <w:r w:rsidR="005A478B">
        <w:rPr>
          <w:color w:val="000000"/>
        </w:rPr>
        <w:t>separación funcional, en línea con una norma más garantista del procedimiento para los administrados</w:t>
      </w:r>
      <w:r>
        <w:rPr>
          <w:color w:val="000000"/>
        </w:rPr>
        <w:t>,</w:t>
      </w:r>
      <w:r w:rsidR="005A478B">
        <w:rPr>
          <w:color w:val="000000"/>
        </w:rPr>
        <w:t xml:space="preserve"> s</w:t>
      </w:r>
      <w:r>
        <w:rPr>
          <w:color w:val="000000"/>
        </w:rPr>
        <w:t xml:space="preserve">í </w:t>
      </w:r>
      <w:r w:rsidR="005A478B">
        <w:rPr>
          <w:color w:val="000000"/>
        </w:rPr>
        <w:t xml:space="preserve">fue contemplada </w:t>
      </w:r>
      <w:r>
        <w:rPr>
          <w:color w:val="000000"/>
        </w:rPr>
        <w:t>en el articulado y debía ser aplicada en el desarrollo</w:t>
      </w:r>
      <w:r w:rsidR="005A478B">
        <w:rPr>
          <w:color w:val="000000"/>
        </w:rPr>
        <w:t xml:space="preserve"> de los procedimientos administrativos sancionadores.</w:t>
      </w:r>
    </w:p>
    <w:p w:rsidR="002355F1" w:rsidRDefault="002355F1" w:rsidP="00D936C4">
      <w:pPr>
        <w:pBdr>
          <w:top w:val="nil"/>
          <w:left w:val="nil"/>
          <w:bottom w:val="nil"/>
          <w:right w:val="nil"/>
          <w:between w:val="nil"/>
        </w:pBdr>
        <w:spacing w:line="360" w:lineRule="auto"/>
        <w:jc w:val="both"/>
        <w:rPr>
          <w:color w:val="000000"/>
        </w:rPr>
      </w:pPr>
    </w:p>
    <w:p w:rsidR="002355F1" w:rsidRDefault="005A478B" w:rsidP="00D936C4">
      <w:pPr>
        <w:pBdr>
          <w:top w:val="nil"/>
          <w:left w:val="nil"/>
          <w:bottom w:val="nil"/>
          <w:right w:val="nil"/>
          <w:between w:val="nil"/>
        </w:pBdr>
        <w:spacing w:line="360" w:lineRule="auto"/>
        <w:jc w:val="both"/>
        <w:rPr>
          <w:color w:val="000000"/>
        </w:rPr>
      </w:pPr>
      <w:r>
        <w:rPr>
          <w:color w:val="000000"/>
        </w:rPr>
        <w:t xml:space="preserve">Habiendo analizado la facultad de inicio del órgano sancionador en la normativa especial de control de estructuras, de control de conductas, las reglas de organización y funciones del Indecopi y la norma de procedimiento administrativo general, un último recurso que justifique el inicio por parte de la Comisión en el caso Enel puede llevarnos a analizar lo dispuesto por el Decreto Legislativo 807 en </w:t>
      </w:r>
      <w:r w:rsidR="006F768E">
        <w:rPr>
          <w:color w:val="000000"/>
        </w:rPr>
        <w:t>el</w:t>
      </w:r>
      <w:r>
        <w:rPr>
          <w:color w:val="000000"/>
        </w:rPr>
        <w:t xml:space="preserve"> artículo 5</w:t>
      </w:r>
      <w:r w:rsidR="006F768E">
        <w:rPr>
          <w:color w:val="000000"/>
        </w:rPr>
        <w:t xml:space="preserve"> que dispone el inicio de acciones sancionadoras ante la provisión de los administrados de información falsa o realice acciones que dificulten la labor de Indecopi</w:t>
      </w:r>
      <w:r>
        <w:rPr>
          <w:color w:val="000000"/>
        </w:rPr>
        <w:t>.</w:t>
      </w:r>
      <w:r w:rsidR="006F768E">
        <w:rPr>
          <w:color w:val="000000"/>
        </w:rPr>
        <w:t xml:space="preserve"> S</w:t>
      </w:r>
      <w:r>
        <w:rPr>
          <w:color w:val="000000"/>
        </w:rPr>
        <w:t xml:space="preserve">in perjuicio que no es un artículo </w:t>
      </w:r>
      <w:r w:rsidR="006F768E">
        <w:rPr>
          <w:color w:val="000000"/>
        </w:rPr>
        <w:t>propio de la</w:t>
      </w:r>
      <w:r>
        <w:rPr>
          <w:color w:val="000000"/>
        </w:rPr>
        <w:t xml:space="preserve"> discusión</w:t>
      </w:r>
      <w:r w:rsidR="006F768E">
        <w:rPr>
          <w:color w:val="000000"/>
        </w:rPr>
        <w:t xml:space="preserve">, permite abordar la potestad sancionadora del Indecopi al otorgarle </w:t>
      </w:r>
      <w:r>
        <w:rPr>
          <w:color w:val="000000"/>
        </w:rPr>
        <w:t xml:space="preserve"> competencia a la Comisión para resolver en temas de administrativo sancionador, </w:t>
      </w:r>
      <w:r w:rsidR="006F768E">
        <w:rPr>
          <w:color w:val="000000"/>
        </w:rPr>
        <w:t>sin hacer</w:t>
      </w:r>
      <w:r>
        <w:rPr>
          <w:color w:val="000000"/>
        </w:rPr>
        <w:t xml:space="preserve"> mención a la competencia para el inicio de un procedimiento sancionador. </w:t>
      </w:r>
      <w:r w:rsidR="006F768E">
        <w:rPr>
          <w:color w:val="000000"/>
        </w:rPr>
        <w:t>Si</w:t>
      </w:r>
      <w:r>
        <w:rPr>
          <w:color w:val="000000"/>
        </w:rPr>
        <w:t xml:space="preserve"> bien la práctica a demostrado que, en el caso particular de procedimientos de esta naturaleza iniciados bajo el Decreto Legislativo 807, la Comisión ha asumido la tutela del inicio de dichos procedimientos, resulta justificable dicha acción de inicio siempre que a través de la etapa instructora se realicen y emitan actos que visibilicen la labor del órgano instructor a través de la emisión de un informe técnico o informe de instrucción. </w:t>
      </w:r>
    </w:p>
    <w:p w:rsidR="002355F1" w:rsidRDefault="002355F1" w:rsidP="00D936C4">
      <w:pPr>
        <w:pBdr>
          <w:top w:val="nil"/>
          <w:left w:val="nil"/>
          <w:bottom w:val="nil"/>
          <w:right w:val="nil"/>
          <w:between w:val="nil"/>
        </w:pBdr>
        <w:spacing w:line="360" w:lineRule="auto"/>
        <w:jc w:val="both"/>
        <w:rPr>
          <w:color w:val="000000"/>
        </w:rPr>
      </w:pPr>
    </w:p>
    <w:p w:rsidR="002355F1" w:rsidRDefault="007804DE" w:rsidP="00D936C4">
      <w:pPr>
        <w:spacing w:line="360" w:lineRule="auto"/>
        <w:jc w:val="both"/>
        <w:rPr>
          <w:color w:val="000000"/>
        </w:rPr>
      </w:pPr>
      <w:r>
        <w:rPr>
          <w:color w:val="000000"/>
        </w:rPr>
        <w:t>En lo que respecta</w:t>
      </w:r>
      <w:r w:rsidR="00EE68FD">
        <w:rPr>
          <w:color w:val="000000"/>
        </w:rPr>
        <w:t>, p</w:t>
      </w:r>
      <w:r w:rsidR="005A478B">
        <w:rPr>
          <w:color w:val="000000"/>
        </w:rPr>
        <w:t xml:space="preserve">ara el año 2009 no existía la obligación de emisión de informes de instrucción, la situación, entonces, ameritaba la adopción de medidas que garantice la separación funcional y el debido procedimiento. Si no podía ser garantizada dicha separación </w:t>
      </w:r>
      <w:r w:rsidR="005A478B">
        <w:rPr>
          <w:color w:val="000000"/>
        </w:rPr>
        <w:lastRenderedPageBreak/>
        <w:t xml:space="preserve">a través de un informe de instrucción, principalmente, por su falta de obligatoriedad, </w:t>
      </w:r>
      <w:r w:rsidR="005A478B">
        <w:t>con el objetivo de proveer al administrado</w:t>
      </w:r>
      <w:r w:rsidR="005A478B">
        <w:rPr>
          <w:color w:val="000000"/>
        </w:rPr>
        <w:t xml:space="preserve"> un </w:t>
      </w:r>
      <w:r w:rsidR="005A478B" w:rsidRPr="007804DE">
        <w:rPr>
          <w:color w:val="000000"/>
          <w:u w:val="single"/>
        </w:rPr>
        <w:t>procedimiento garantista y en sintonía con lo expuesto por la Ley 26876 y Ley 27444,</w:t>
      </w:r>
      <w:r w:rsidR="005A478B">
        <w:rPr>
          <w:color w:val="000000"/>
        </w:rPr>
        <w:t xml:space="preserve"> </w:t>
      </w:r>
      <w:r w:rsidR="005A478B" w:rsidRPr="007804DE">
        <w:rPr>
          <w:color w:val="000000"/>
          <w:u w:val="single"/>
        </w:rPr>
        <w:t xml:space="preserve">la Secretaría Técnica </w:t>
      </w:r>
      <w:r w:rsidR="005A478B" w:rsidRPr="007804DE">
        <w:rPr>
          <w:u w:val="single"/>
        </w:rPr>
        <w:t>era</w:t>
      </w:r>
      <w:r w:rsidR="005A478B" w:rsidRPr="007804DE">
        <w:rPr>
          <w:color w:val="000000"/>
          <w:u w:val="single"/>
        </w:rPr>
        <w:t xml:space="preserve"> el órgano que debió iniciar el procedimiento sancionador a través de la emisión de una Resolución de Inicio.</w:t>
      </w:r>
      <w:r w:rsidR="005A478B">
        <w:rPr>
          <w:color w:val="000000"/>
        </w:rPr>
        <w:t xml:space="preserve"> </w:t>
      </w:r>
    </w:p>
    <w:p w:rsidR="002355F1" w:rsidRDefault="002355F1" w:rsidP="00D936C4">
      <w:pPr>
        <w:pBdr>
          <w:top w:val="nil"/>
          <w:left w:val="nil"/>
          <w:bottom w:val="nil"/>
          <w:right w:val="nil"/>
          <w:between w:val="nil"/>
        </w:pBdr>
        <w:spacing w:line="360" w:lineRule="auto"/>
        <w:jc w:val="both"/>
        <w:rPr>
          <w:color w:val="000000"/>
        </w:rPr>
      </w:pPr>
    </w:p>
    <w:p w:rsidR="002355F1" w:rsidRDefault="005A478B" w:rsidP="00D936C4">
      <w:pPr>
        <w:pBdr>
          <w:top w:val="nil"/>
          <w:left w:val="nil"/>
          <w:bottom w:val="nil"/>
          <w:right w:val="nil"/>
          <w:between w:val="nil"/>
        </w:pBdr>
        <w:spacing w:line="360" w:lineRule="auto"/>
        <w:jc w:val="both"/>
        <w:rPr>
          <w:color w:val="000000"/>
        </w:rPr>
      </w:pPr>
      <w:r>
        <w:t>El</w:t>
      </w:r>
      <w:r>
        <w:rPr>
          <w:color w:val="000000"/>
        </w:rPr>
        <w:t xml:space="preserve"> caso Enel</w:t>
      </w:r>
      <w:r>
        <w:t xml:space="preserve"> </w:t>
      </w:r>
      <w:r>
        <w:rPr>
          <w:color w:val="000000"/>
        </w:rPr>
        <w:t>puso en evidencia esta ausencia de garantías para el administrado. Si la autoridad que está a cargo de iniciar el procedimiento es la encargada de sancionar al agente, esto afectaría la llamada imparcialidad, que exige, a la autoridad a cargo del pronunciamiento final que se acerque al conocimiento del asunto sin prejuicios derivados de una relación o contacto previos con el objeto del proceso (Esquivias 2014: 220). Los prejuicios podrían nacer así, a través de la realización de actos de instrucción o adopción de decisiones previas que comporten un juicio anticipado de culpabilidad como podría ser la actividad del inicio.</w:t>
      </w:r>
    </w:p>
    <w:p w:rsidR="002355F1" w:rsidRDefault="002355F1" w:rsidP="00D936C4">
      <w:pPr>
        <w:pBdr>
          <w:top w:val="nil"/>
          <w:left w:val="nil"/>
          <w:bottom w:val="nil"/>
          <w:right w:val="nil"/>
          <w:between w:val="nil"/>
        </w:pBdr>
        <w:spacing w:line="360" w:lineRule="auto"/>
        <w:jc w:val="both"/>
      </w:pPr>
    </w:p>
    <w:p w:rsidR="002355F1" w:rsidRDefault="005A478B" w:rsidP="00D936C4">
      <w:pPr>
        <w:pBdr>
          <w:top w:val="nil"/>
          <w:left w:val="nil"/>
          <w:bottom w:val="nil"/>
          <w:right w:val="nil"/>
          <w:between w:val="nil"/>
        </w:pBdr>
        <w:spacing w:line="360" w:lineRule="auto"/>
        <w:jc w:val="both"/>
      </w:pPr>
      <w:r>
        <w:t>En esa línea el Tribunal Europeo de Derechos Humanos en el caso Piersack precisó que en la imparcialidad “Se puede distinguir así entre un aspecto subjetivo, que trata de averiguar la convicción personal de un juez determinado en un caso concreto, y un aspecto objetivo, que se refiere a si éste ofrece las garantías suficientes para excluir cualquier duda razonable al respecto”. (Tribunal Europeo de Derechos Humanos 1982: fundamento 30). Resulta fundamental no solo que se garantice en las normas la imparcialidad, sino la apariencia de la misma, tal y como se precisó en el caso R vs Sussex del 1924 en Inglaterra “Justice must not only be done; it must also be seen to be done" [no solo debe hacerse justicia, sino también parecer que se hace].”</w:t>
      </w:r>
    </w:p>
    <w:p w:rsidR="002355F1" w:rsidRDefault="002355F1" w:rsidP="00D936C4">
      <w:pPr>
        <w:pBdr>
          <w:top w:val="nil"/>
          <w:left w:val="nil"/>
          <w:bottom w:val="nil"/>
          <w:right w:val="nil"/>
          <w:between w:val="nil"/>
        </w:pBdr>
        <w:spacing w:line="360" w:lineRule="auto"/>
        <w:jc w:val="both"/>
      </w:pPr>
    </w:p>
    <w:p w:rsidR="002355F1" w:rsidRDefault="005A478B" w:rsidP="00D936C4">
      <w:pPr>
        <w:pBdr>
          <w:top w:val="nil"/>
          <w:left w:val="nil"/>
          <w:bottom w:val="nil"/>
          <w:right w:val="nil"/>
          <w:between w:val="nil"/>
        </w:pBdr>
        <w:spacing w:line="360" w:lineRule="auto"/>
        <w:jc w:val="both"/>
        <w:rPr>
          <w:color w:val="000000"/>
        </w:rPr>
      </w:pPr>
      <w:r>
        <w:rPr>
          <w:color w:val="000000"/>
        </w:rPr>
        <w:t xml:space="preserve">Para finalizar, </w:t>
      </w:r>
      <w:r w:rsidR="007804DE">
        <w:rPr>
          <w:color w:val="000000"/>
        </w:rPr>
        <w:t>es postura de  la autora del Informe, la evidente</w:t>
      </w:r>
      <w:r>
        <w:rPr>
          <w:color w:val="000000"/>
        </w:rPr>
        <w:t xml:space="preserve"> trasgresión a la debida separación funcional como garantía en un procedimiento sancionador. Aún más cuando, del análisis de las normas aplicables al procedimiento</w:t>
      </w:r>
      <w:r w:rsidR="007804DE">
        <w:rPr>
          <w:color w:val="000000"/>
        </w:rPr>
        <w:t>,</w:t>
      </w:r>
      <w:r>
        <w:rPr>
          <w:color w:val="000000"/>
        </w:rPr>
        <w:t xml:space="preserve"> resultaba evidente la intención del legislador de otorgarle a la Secretaría Técnica la facultad de iniciar dichos actos. </w:t>
      </w:r>
      <w:r w:rsidR="007804DE">
        <w:rPr>
          <w:color w:val="000000"/>
        </w:rPr>
        <w:t>Al mismo tiempo,</w:t>
      </w:r>
      <w:r>
        <w:rPr>
          <w:color w:val="000000"/>
        </w:rPr>
        <w:t xml:space="preserve"> las normas </w:t>
      </w:r>
      <w:r w:rsidR="002A1997">
        <w:rPr>
          <w:color w:val="000000"/>
        </w:rPr>
        <w:t xml:space="preserve"> estudiadas </w:t>
      </w:r>
      <w:r>
        <w:rPr>
          <w:color w:val="000000"/>
        </w:rPr>
        <w:t xml:space="preserve">han aportado más elementos para apoyar el inicio de la Secretaría Técnica y garantizar así al administrado que el pronunciamiento final de primera instancia por parte de la Comisión </w:t>
      </w:r>
      <w:r w:rsidR="002A1997">
        <w:rPr>
          <w:color w:val="000000"/>
        </w:rPr>
        <w:t>se vea</w:t>
      </w:r>
      <w:r>
        <w:rPr>
          <w:color w:val="000000"/>
        </w:rPr>
        <w:t xml:space="preserve"> verse ajeno a juicios anticipados de culpabilidad, propio de una autoridad que ya identifica la existencia de una infracción y debe, tiempo </w:t>
      </w:r>
      <w:r>
        <w:rPr>
          <w:color w:val="000000"/>
        </w:rPr>
        <w:lastRenderedPageBreak/>
        <w:t xml:space="preserve">después y sin obligatoriedad de la emisión del informe de instrucción, realizar un análisis de su propia declaratoria. </w:t>
      </w:r>
    </w:p>
    <w:p w:rsidR="002355F1" w:rsidRDefault="005A478B" w:rsidP="00123ED2">
      <w:pPr>
        <w:pStyle w:val="Ttulo3"/>
        <w:numPr>
          <w:ilvl w:val="1"/>
          <w:numId w:val="3"/>
        </w:numPr>
        <w:spacing w:line="360" w:lineRule="auto"/>
        <w:rPr>
          <w:color w:val="000000"/>
          <w:sz w:val="24"/>
          <w:szCs w:val="24"/>
        </w:rPr>
      </w:pPr>
      <w:bookmarkStart w:id="24" w:name="_Toc47387731"/>
      <w:r>
        <w:rPr>
          <w:color w:val="000000"/>
          <w:sz w:val="24"/>
          <w:szCs w:val="24"/>
        </w:rPr>
        <w:t>Sobre la tipicidad, ¿es clara la infracción del artículo 6 de la Ley 26876?</w:t>
      </w:r>
      <w:bookmarkEnd w:id="24"/>
    </w:p>
    <w:p w:rsidR="002355F1" w:rsidRDefault="005A478B" w:rsidP="00123ED2">
      <w:pPr>
        <w:pStyle w:val="Ttulo3"/>
        <w:numPr>
          <w:ilvl w:val="3"/>
          <w:numId w:val="3"/>
        </w:numPr>
        <w:spacing w:line="360" w:lineRule="auto"/>
        <w:rPr>
          <w:color w:val="000000"/>
          <w:sz w:val="24"/>
          <w:szCs w:val="24"/>
        </w:rPr>
      </w:pPr>
      <w:bookmarkStart w:id="25" w:name="_Toc47387732"/>
      <w:r>
        <w:rPr>
          <w:color w:val="000000"/>
          <w:sz w:val="24"/>
          <w:szCs w:val="24"/>
        </w:rPr>
        <w:t>¿Qué es el principio de tipicidad en el procedimiento administrativo sancionador?</w:t>
      </w:r>
      <w:bookmarkEnd w:id="25"/>
    </w:p>
    <w:p w:rsidR="002355F1" w:rsidRDefault="005A478B" w:rsidP="00D936C4">
      <w:pPr>
        <w:spacing w:line="360" w:lineRule="auto"/>
        <w:jc w:val="both"/>
        <w:rPr>
          <w:color w:val="000000"/>
        </w:rPr>
      </w:pPr>
      <w:r>
        <w:rPr>
          <w:color w:val="000000"/>
        </w:rPr>
        <w:t xml:space="preserve">El principio de tipicidad exige que exista una adecuación precisa entre la conducta descrita en un tipo infractor y el hecho cometido por acción u omisión y que esta adecuación sea, efectivamente, trasladada a la hora de dictar el acto por la autoridad que impone una sanción. </w:t>
      </w:r>
    </w:p>
    <w:p w:rsidR="002355F1" w:rsidRDefault="002355F1" w:rsidP="00D936C4">
      <w:pPr>
        <w:spacing w:line="360" w:lineRule="auto"/>
        <w:jc w:val="both"/>
      </w:pPr>
    </w:p>
    <w:p w:rsidR="002355F1" w:rsidRPr="00145AB1" w:rsidRDefault="005A478B" w:rsidP="00D936C4">
      <w:pPr>
        <w:spacing w:line="360" w:lineRule="auto"/>
        <w:jc w:val="both"/>
        <w:rPr>
          <w:color w:val="000000"/>
        </w:rPr>
      </w:pPr>
      <w:r>
        <w:t>¿C</w:t>
      </w:r>
      <w:r>
        <w:rPr>
          <w:color w:val="000000"/>
        </w:rPr>
        <w:t xml:space="preserve">ómo acogió el derecho administrativo sancionador la aplicación de un principio propio del derecho sancionador? En nuestro ordenamiento nacional, el Tribunal Constitucional a través de la Sentencia del 16 de abril de 2003, Expediente 2050-2002-AA/TC reconoció </w:t>
      </w:r>
      <w:r w:rsidR="00145AB1">
        <w:rPr>
          <w:color w:val="000000"/>
        </w:rPr>
        <w:t>“</w:t>
      </w:r>
      <w:r w:rsidRPr="00145AB1">
        <w:rPr>
          <w:color w:val="000000"/>
        </w:rPr>
        <w:t>es necesario precisar que los principios de culpabilidad, legalidad, tipicidad, entre otros, constituyen principios básicos del derecho sancionador, que no sólo se aplican en el ámbito del derecho penal, sino también en el del derecho administrativo sancionador (…)</w:t>
      </w:r>
      <w:r w:rsidR="00145AB1" w:rsidRPr="00145AB1">
        <w:rPr>
          <w:color w:val="000000"/>
        </w:rPr>
        <w:t>”</w:t>
      </w:r>
      <w:r w:rsidRPr="00145AB1">
        <w:rPr>
          <w:color w:val="000000"/>
        </w:rPr>
        <w:t xml:space="preserve"> (Tribunal Constitucional 2003: fundamento 8).</w:t>
      </w:r>
    </w:p>
    <w:p w:rsidR="002355F1" w:rsidRDefault="002355F1" w:rsidP="00D936C4">
      <w:pPr>
        <w:shd w:val="clear" w:color="auto" w:fill="FFFFFF"/>
        <w:spacing w:line="360" w:lineRule="auto"/>
        <w:jc w:val="both"/>
        <w:rPr>
          <w:color w:val="000000"/>
        </w:rPr>
      </w:pPr>
    </w:p>
    <w:p w:rsidR="002355F1" w:rsidRDefault="005A478B" w:rsidP="00D936C4">
      <w:pPr>
        <w:shd w:val="clear" w:color="auto" w:fill="FFFFFF"/>
        <w:spacing w:line="360" w:lineRule="auto"/>
        <w:jc w:val="both"/>
        <w:rPr>
          <w:color w:val="000000"/>
        </w:rPr>
      </w:pPr>
      <w:r>
        <w:rPr>
          <w:color w:val="000000"/>
        </w:rPr>
        <w:t>Para el año 2009, el principio de tipicidad se encontraba reconocido en el inciso 4 del artículo 230 de la Ley 27444</w:t>
      </w:r>
      <w:r w:rsidR="007B507D">
        <w:rPr>
          <w:color w:val="000000"/>
          <w:vertAlign w:val="superscript"/>
        </w:rPr>
        <w:footnoteReference w:id="19"/>
      </w:r>
      <w:r>
        <w:rPr>
          <w:color w:val="000000"/>
        </w:rPr>
        <w:t>.</w:t>
      </w:r>
      <w:r w:rsidR="007B507D">
        <w:rPr>
          <w:color w:val="000000"/>
        </w:rPr>
        <w:t xml:space="preserve"> </w:t>
      </w:r>
      <w:r>
        <w:rPr>
          <w:color w:val="000000"/>
        </w:rPr>
        <w:t>¿</w:t>
      </w:r>
      <w:r w:rsidR="007B507D">
        <w:rPr>
          <w:color w:val="000000"/>
        </w:rPr>
        <w:t>Q</w:t>
      </w:r>
      <w:r>
        <w:rPr>
          <w:color w:val="000000"/>
        </w:rPr>
        <w:t xml:space="preserve">ué es lo relevante del principio de tipicidad? Fundamentalmente, el principio de tipicidad busca otorgar un grado de predeterminación normativa a los comportamientos identificados como típicos, o pasibles de sanción. Es decir, con la tipicidad se busca garantizar que el administrado </w:t>
      </w:r>
      <w:r>
        <w:t>sólo</w:t>
      </w:r>
      <w:r>
        <w:rPr>
          <w:color w:val="000000"/>
        </w:rPr>
        <w:t xml:space="preserve"> pueda ser sancionado por un hecho que se encuentre definido de manera precisa y su sanción se encuentre claramente definida y no </w:t>
      </w:r>
      <w:r>
        <w:rPr>
          <w:color w:val="000000"/>
        </w:rPr>
        <w:lastRenderedPageBreak/>
        <w:t>cabe, bajo este principio, la posibilidad de interpretación extensiva o analógica. En esa línea, Manuel Gómez Tomillo e Íñigo Sanz indican lo siguiente:</w:t>
      </w:r>
    </w:p>
    <w:p w:rsidR="002355F1" w:rsidRDefault="005A478B" w:rsidP="00D936C4">
      <w:pPr>
        <w:spacing w:line="360" w:lineRule="auto"/>
        <w:jc w:val="both"/>
        <w:rPr>
          <w:color w:val="000000"/>
        </w:rPr>
      </w:pPr>
      <w:r>
        <w:rPr>
          <w:color w:val="000000"/>
        </w:rPr>
        <w:tab/>
      </w:r>
    </w:p>
    <w:p w:rsidR="002355F1" w:rsidRPr="00324395" w:rsidRDefault="005A478B" w:rsidP="00D936C4">
      <w:pPr>
        <w:spacing w:line="360" w:lineRule="auto"/>
        <w:ind w:left="720"/>
        <w:jc w:val="both"/>
        <w:rPr>
          <w:color w:val="000000"/>
          <w:sz w:val="20"/>
          <w:szCs w:val="20"/>
        </w:rPr>
      </w:pPr>
      <w:r w:rsidRPr="00324395">
        <w:rPr>
          <w:color w:val="000000"/>
          <w:sz w:val="20"/>
          <w:szCs w:val="20"/>
        </w:rPr>
        <w:t xml:space="preserve">El principio de legalidad posee una vertiente material conocida como principio de tipicidad o, más precisamente, de taxatividad. Consiste en la exigencia de que tanto los comportamientos prohibidos, o preceptuados, como las sanciones a imponer, sean descritos clara e inequívocamente, de forma que no se genere inseguridad jurídica. Se trata, en definitiva, de que los ciudadanos puedan en todo momento prever las consecuencias sancionatorias que se puedan derivar de su conducta (Gómez Tomillo y Sanz 2013: 159). </w:t>
      </w:r>
    </w:p>
    <w:p w:rsidR="002355F1" w:rsidRDefault="002355F1" w:rsidP="00D936C4">
      <w:pPr>
        <w:spacing w:line="360" w:lineRule="auto"/>
        <w:jc w:val="both"/>
        <w:rPr>
          <w:color w:val="000000"/>
        </w:rPr>
      </w:pPr>
    </w:p>
    <w:p w:rsidR="002355F1" w:rsidRDefault="005A478B" w:rsidP="00D936C4">
      <w:pPr>
        <w:shd w:val="clear" w:color="auto" w:fill="FFFFFF"/>
        <w:spacing w:line="360" w:lineRule="auto"/>
        <w:jc w:val="both"/>
        <w:rPr>
          <w:color w:val="000000"/>
        </w:rPr>
      </w:pPr>
      <w:r>
        <w:rPr>
          <w:color w:val="000000"/>
        </w:rPr>
        <w:t>En ese orden de ideas, es requerido un nivel de precisión suficiente de modo tal que el ciudadano con formación básica pueda entender sin dificultad lo que en un dispositivo legal se encuentra proscrito y tiene amenaza de sanción, tal y como lo precisa el Tribunal Constitucional en la Sentencia del 11 de octubre de 2004, Expediente 2192-2004-AA/TC, al indicar en su fundamento jurídico 5 que la tipicidad constituye la precisa definición de la conducta que la ley considera como falta.</w:t>
      </w:r>
    </w:p>
    <w:p w:rsidR="002355F1" w:rsidRDefault="002355F1" w:rsidP="00D936C4">
      <w:pPr>
        <w:shd w:val="clear" w:color="auto" w:fill="FFFFFF"/>
        <w:spacing w:line="360" w:lineRule="auto"/>
        <w:jc w:val="both"/>
      </w:pPr>
    </w:p>
    <w:p w:rsidR="002355F1" w:rsidRPr="00324395" w:rsidRDefault="005A478B" w:rsidP="00D936C4">
      <w:pPr>
        <w:shd w:val="clear" w:color="auto" w:fill="FFFFFF"/>
        <w:spacing w:line="360" w:lineRule="auto"/>
        <w:ind w:left="720"/>
        <w:jc w:val="both"/>
        <w:rPr>
          <w:color w:val="000000"/>
          <w:sz w:val="20"/>
          <w:szCs w:val="20"/>
        </w:rPr>
      </w:pPr>
      <w:r w:rsidRPr="00324395">
        <w:rPr>
          <w:color w:val="000000"/>
          <w:sz w:val="20"/>
          <w:szCs w:val="20"/>
        </w:rPr>
        <w:t>5. El subprincipio de tipicidad o taxatividad constituye una de las manifestaciones o concreciones del principio de legalidad respecto de los límites que se imponen al legislador penal o administrativo, a efectos de que las prohibiciones que definen sanciones, sean éstas penales o administrativas, estén redactadas con un nivel de precisión suficiente que permita a cualquier ciudadano de formación básica, comprender sin dificultad lo que se está proscribiendo bajo amenaza de sanción en  una determinada disposición legal (Tribunal Constitucional 2004: fundamento 5).</w:t>
      </w:r>
    </w:p>
    <w:p w:rsidR="002355F1" w:rsidRDefault="002355F1" w:rsidP="00D936C4">
      <w:pPr>
        <w:shd w:val="clear" w:color="auto" w:fill="FFFFFF"/>
        <w:spacing w:line="360" w:lineRule="auto"/>
        <w:jc w:val="both"/>
        <w:rPr>
          <w:sz w:val="22"/>
          <w:szCs w:val="22"/>
        </w:rPr>
      </w:pPr>
    </w:p>
    <w:p w:rsidR="002355F1" w:rsidRPr="00EE68FD" w:rsidRDefault="005A478B" w:rsidP="00D936C4">
      <w:pPr>
        <w:shd w:val="clear" w:color="auto" w:fill="FFFFFF"/>
        <w:spacing w:line="360" w:lineRule="auto"/>
        <w:jc w:val="both"/>
        <w:rPr>
          <w:sz w:val="22"/>
          <w:szCs w:val="22"/>
        </w:rPr>
      </w:pPr>
      <w:r w:rsidRPr="00EE68FD">
        <w:t>Esta concepción de la tipicidad ha sido reiterado en el presente año por el Tribunal Constitucional en el E</w:t>
      </w:r>
      <w:hyperlink r:id="rId17">
        <w:r w:rsidRPr="0062212D">
          <w:t>xpediente 00020-2015-PI</w:t>
        </w:r>
      </w:hyperlink>
      <w:r w:rsidRPr="0062212D">
        <w:t>/TC del</w:t>
      </w:r>
      <w:r w:rsidR="00EE68FD" w:rsidRPr="0062212D">
        <w:t xml:space="preserve"> 25 de abril de 2018</w:t>
      </w:r>
      <w:r w:rsidR="0062212D">
        <w:t>:</w:t>
      </w:r>
    </w:p>
    <w:p w:rsidR="002355F1" w:rsidRPr="00EE68FD" w:rsidRDefault="002355F1" w:rsidP="00D936C4">
      <w:pPr>
        <w:shd w:val="clear" w:color="auto" w:fill="FFFFFF"/>
        <w:spacing w:line="360" w:lineRule="auto"/>
        <w:jc w:val="both"/>
        <w:rPr>
          <w:sz w:val="22"/>
          <w:szCs w:val="22"/>
        </w:rPr>
      </w:pPr>
    </w:p>
    <w:p w:rsidR="002355F1" w:rsidRPr="00EE68FD" w:rsidRDefault="005A478B" w:rsidP="00D936C4">
      <w:pPr>
        <w:pBdr>
          <w:top w:val="nil"/>
          <w:left w:val="nil"/>
          <w:bottom w:val="nil"/>
          <w:right w:val="nil"/>
          <w:between w:val="nil"/>
        </w:pBdr>
        <w:shd w:val="clear" w:color="auto" w:fill="FFFFFF"/>
        <w:spacing w:line="360" w:lineRule="auto"/>
        <w:ind w:left="720"/>
        <w:jc w:val="both"/>
        <w:rPr>
          <w:sz w:val="20"/>
          <w:szCs w:val="20"/>
        </w:rPr>
      </w:pPr>
      <w:r w:rsidRPr="00EE68FD">
        <w:rPr>
          <w:sz w:val="20"/>
          <w:szCs w:val="20"/>
        </w:rPr>
        <w:t>41. (...) se vulnera el principio de legalidad en sentido estricto si una persona es condenada o sancionada por un delito o infracción no prevista expresamente en una norma con rango de ley. Por otro lado, se vulnera el subprincipio de tipicidad o taxatividad cuando, pese a que la infracción o delito está prevista en una norma con rango de ley, la descripción de la conducta punible cumple con estándares mínimos de precisión.</w:t>
      </w:r>
      <w:r w:rsidR="00145AB1">
        <w:rPr>
          <w:sz w:val="20"/>
          <w:szCs w:val="20"/>
        </w:rPr>
        <w:t xml:space="preserve"> </w:t>
      </w:r>
      <w:r w:rsidR="00145AB1" w:rsidRPr="00324395">
        <w:rPr>
          <w:color w:val="000000"/>
          <w:sz w:val="20"/>
          <w:szCs w:val="20"/>
        </w:rPr>
        <w:t>(Tribunal Constitucional 20</w:t>
      </w:r>
      <w:r w:rsidR="00145AB1">
        <w:rPr>
          <w:color w:val="000000"/>
          <w:sz w:val="20"/>
          <w:szCs w:val="20"/>
        </w:rPr>
        <w:t>18</w:t>
      </w:r>
      <w:r w:rsidR="00145AB1" w:rsidRPr="00324395">
        <w:rPr>
          <w:color w:val="000000"/>
          <w:sz w:val="20"/>
          <w:szCs w:val="20"/>
        </w:rPr>
        <w:t xml:space="preserve">: fundamento </w:t>
      </w:r>
      <w:r w:rsidR="00145AB1">
        <w:rPr>
          <w:color w:val="000000"/>
          <w:sz w:val="20"/>
          <w:szCs w:val="20"/>
        </w:rPr>
        <w:t>41</w:t>
      </w:r>
      <w:r w:rsidR="00145AB1" w:rsidRPr="00324395">
        <w:rPr>
          <w:color w:val="000000"/>
          <w:sz w:val="20"/>
          <w:szCs w:val="20"/>
        </w:rPr>
        <w:t>).</w:t>
      </w:r>
    </w:p>
    <w:p w:rsidR="002355F1" w:rsidRDefault="005A478B" w:rsidP="00123ED2">
      <w:pPr>
        <w:pStyle w:val="Ttulo3"/>
        <w:numPr>
          <w:ilvl w:val="3"/>
          <w:numId w:val="3"/>
        </w:numPr>
        <w:spacing w:line="360" w:lineRule="auto"/>
        <w:rPr>
          <w:color w:val="000000"/>
          <w:sz w:val="24"/>
          <w:szCs w:val="24"/>
        </w:rPr>
      </w:pPr>
      <w:bookmarkStart w:id="26" w:name="_Toc47387733"/>
      <w:r>
        <w:rPr>
          <w:color w:val="000000"/>
          <w:sz w:val="24"/>
          <w:szCs w:val="24"/>
        </w:rPr>
        <w:lastRenderedPageBreak/>
        <w:t>Tipicidad en la Ley 26876</w:t>
      </w:r>
      <w:bookmarkEnd w:id="26"/>
    </w:p>
    <w:p w:rsidR="002355F1" w:rsidRDefault="005A478B" w:rsidP="00D936C4">
      <w:pPr>
        <w:shd w:val="clear" w:color="auto" w:fill="FFFFFF"/>
        <w:spacing w:line="360" w:lineRule="auto"/>
        <w:jc w:val="both"/>
        <w:rPr>
          <w:color w:val="000000"/>
        </w:rPr>
      </w:pPr>
      <w:r>
        <w:t>¿De qué manera el principio de tipicidad se encuentra garantizado en la Ley 26876? Al observar el artíc</w:t>
      </w:r>
      <w:r>
        <w:rPr>
          <w:color w:val="000000"/>
        </w:rPr>
        <w:t xml:space="preserve">ulo 6 de la Ley 26876 encontramos una tipificación, a primera vista, adecuada </w:t>
      </w:r>
      <w:r w:rsidR="0062212D">
        <w:rPr>
          <w:color w:val="000000"/>
        </w:rPr>
        <w:t>dado que es posible</w:t>
      </w:r>
      <w:r>
        <w:rPr>
          <w:color w:val="000000"/>
        </w:rPr>
        <w:t xml:space="preserve"> identificar </w:t>
      </w:r>
      <w:r w:rsidR="0062212D">
        <w:rPr>
          <w:color w:val="000000"/>
        </w:rPr>
        <w:t>las</w:t>
      </w:r>
      <w:r>
        <w:rPr>
          <w:color w:val="000000"/>
        </w:rPr>
        <w:t xml:space="preserve"> conductas que constituyen infracciones</w:t>
      </w:r>
      <w:r w:rsidR="0062212D">
        <w:rPr>
          <w:color w:val="000000"/>
        </w:rPr>
        <w:t>,</w:t>
      </w:r>
      <w:r>
        <w:rPr>
          <w:color w:val="000000"/>
        </w:rPr>
        <w:t xml:space="preserve"> así como sus respectivas consecuencias jurídicas.</w:t>
      </w:r>
    </w:p>
    <w:p w:rsidR="002355F1" w:rsidRDefault="002355F1" w:rsidP="00D936C4">
      <w:pPr>
        <w:shd w:val="clear" w:color="auto" w:fill="FFFFFF"/>
        <w:spacing w:line="360" w:lineRule="auto"/>
        <w:jc w:val="both"/>
        <w:rPr>
          <w:color w:val="000000"/>
        </w:rPr>
      </w:pPr>
    </w:p>
    <w:p w:rsidR="00EE68FD" w:rsidRDefault="005A478B" w:rsidP="00D936C4">
      <w:pPr>
        <w:shd w:val="clear" w:color="auto" w:fill="FFFFFF"/>
        <w:spacing w:line="360" w:lineRule="auto"/>
        <w:ind w:left="720"/>
        <w:jc w:val="both"/>
        <w:rPr>
          <w:b/>
          <w:color w:val="000000"/>
          <w:sz w:val="20"/>
          <w:szCs w:val="20"/>
        </w:rPr>
      </w:pPr>
      <w:r w:rsidRPr="00324395">
        <w:rPr>
          <w:b/>
          <w:color w:val="000000"/>
          <w:sz w:val="20"/>
          <w:szCs w:val="20"/>
        </w:rPr>
        <w:t>Ley 26876</w:t>
      </w:r>
    </w:p>
    <w:p w:rsidR="002355F1" w:rsidRPr="00324395" w:rsidRDefault="005A478B" w:rsidP="00D936C4">
      <w:pPr>
        <w:shd w:val="clear" w:color="auto" w:fill="FFFFFF"/>
        <w:spacing w:line="360" w:lineRule="auto"/>
        <w:ind w:left="720"/>
        <w:jc w:val="both"/>
        <w:rPr>
          <w:color w:val="000000"/>
          <w:sz w:val="20"/>
          <w:szCs w:val="20"/>
        </w:rPr>
      </w:pPr>
      <w:r w:rsidRPr="00324395">
        <w:rPr>
          <w:b/>
          <w:color w:val="000000"/>
          <w:sz w:val="20"/>
          <w:szCs w:val="20"/>
        </w:rPr>
        <w:t xml:space="preserve">Artículo 6.- </w:t>
      </w:r>
      <w:r w:rsidRPr="00324395">
        <w:rPr>
          <w:color w:val="000000"/>
          <w:sz w:val="20"/>
          <w:szCs w:val="20"/>
        </w:rPr>
        <w:t xml:space="preserve">La Comisión de Libre Competencia del INDECOPI podrá imponer a las personas o empresas a que se refiere el Artículo 4 de la presente Ley, multas por un importe no mayor a </w:t>
      </w:r>
      <w:r w:rsidRPr="00324395">
        <w:rPr>
          <w:color w:val="000000"/>
          <w:sz w:val="20"/>
          <w:szCs w:val="20"/>
          <w:u w:val="single"/>
        </w:rPr>
        <w:t xml:space="preserve">500 UIT </w:t>
      </w:r>
      <w:r w:rsidRPr="00324395">
        <w:rPr>
          <w:color w:val="000000"/>
          <w:sz w:val="20"/>
          <w:szCs w:val="20"/>
        </w:rPr>
        <w:t xml:space="preserve">cuando: </w:t>
      </w:r>
      <w:r w:rsidRPr="00324395">
        <w:rPr>
          <w:b/>
          <w:color w:val="000000"/>
          <w:sz w:val="20"/>
          <w:szCs w:val="20"/>
        </w:rPr>
        <w:t>omitan la presentación de la solicitud de autorización de un acto de concentración antes de ser efectuado</w:t>
      </w:r>
      <w:r w:rsidRPr="00324395">
        <w:rPr>
          <w:color w:val="000000"/>
          <w:sz w:val="20"/>
          <w:szCs w:val="20"/>
        </w:rPr>
        <w:t xml:space="preserve">, </w:t>
      </w:r>
      <w:r w:rsidRPr="00324395">
        <w:rPr>
          <w:b/>
          <w:color w:val="000000"/>
          <w:sz w:val="20"/>
          <w:szCs w:val="20"/>
        </w:rPr>
        <w:t>suministren datos inexactos</w:t>
      </w:r>
      <w:r w:rsidRPr="00324395">
        <w:rPr>
          <w:color w:val="000000"/>
          <w:sz w:val="20"/>
          <w:szCs w:val="20"/>
        </w:rPr>
        <w:t xml:space="preserve"> en la solicitud presentada o en respuesta a los requerimientos de la Comisión, o </w:t>
      </w:r>
      <w:r w:rsidRPr="00324395">
        <w:rPr>
          <w:b/>
          <w:color w:val="000000"/>
          <w:sz w:val="20"/>
          <w:szCs w:val="20"/>
        </w:rPr>
        <w:t xml:space="preserve">no proporcionen la información dentro de los plazos </w:t>
      </w:r>
      <w:r w:rsidRPr="00324395">
        <w:rPr>
          <w:color w:val="000000"/>
          <w:sz w:val="20"/>
          <w:szCs w:val="20"/>
        </w:rPr>
        <w:t>establecidos.</w:t>
      </w:r>
    </w:p>
    <w:p w:rsidR="002355F1" w:rsidRPr="00324395" w:rsidRDefault="005A478B" w:rsidP="00D936C4">
      <w:pPr>
        <w:shd w:val="clear" w:color="auto" w:fill="FFFFFF"/>
        <w:spacing w:line="360" w:lineRule="auto"/>
        <w:ind w:left="720"/>
        <w:jc w:val="both"/>
        <w:rPr>
          <w:color w:val="000000"/>
          <w:sz w:val="20"/>
          <w:szCs w:val="20"/>
        </w:rPr>
      </w:pPr>
      <w:r w:rsidRPr="00324395">
        <w:rPr>
          <w:color w:val="000000"/>
          <w:sz w:val="20"/>
          <w:szCs w:val="20"/>
        </w:rPr>
        <w:t xml:space="preserve">Sin perjuicio de lo señalado en el párrafo precedente, la Comisión podrá importar multas de hasta el </w:t>
      </w:r>
      <w:r w:rsidRPr="00324395">
        <w:rPr>
          <w:color w:val="000000"/>
          <w:sz w:val="20"/>
          <w:szCs w:val="20"/>
          <w:u w:val="single"/>
        </w:rPr>
        <w:t xml:space="preserve">10% de las ventas o ingresos brutos </w:t>
      </w:r>
      <w:r w:rsidRPr="00324395">
        <w:rPr>
          <w:color w:val="000000"/>
          <w:sz w:val="20"/>
          <w:szCs w:val="20"/>
        </w:rPr>
        <w:t xml:space="preserve">percibidos por las empresas que desarrollan alguna actividad eléctrica en el territorio nacional, involucradas directa o indirectamente en la concentración -en los términos establecidos en el Artículo 3 de la presente Ley-, correspondientes al año inmediato anterior a la decisión de la Comisión, a las personas o empresas a que se refiere el Artículo 4 de la misma, que: </w:t>
      </w:r>
      <w:r w:rsidRPr="00324395">
        <w:rPr>
          <w:b/>
          <w:color w:val="000000"/>
          <w:sz w:val="20"/>
          <w:szCs w:val="20"/>
        </w:rPr>
        <w:t>realicen el acto de concentración omitiendo solicitar su autorización previa</w:t>
      </w:r>
      <w:r w:rsidRPr="00324395">
        <w:rPr>
          <w:color w:val="000000"/>
          <w:sz w:val="20"/>
          <w:szCs w:val="20"/>
        </w:rPr>
        <w:t xml:space="preserve"> o </w:t>
      </w:r>
      <w:r w:rsidRPr="00324395">
        <w:rPr>
          <w:b/>
          <w:color w:val="000000"/>
          <w:sz w:val="20"/>
          <w:szCs w:val="20"/>
        </w:rPr>
        <w:t xml:space="preserve">lo lleven a cabo luego de presentada la solicitud pero antes de la decisión </w:t>
      </w:r>
      <w:r w:rsidRPr="00324395">
        <w:rPr>
          <w:color w:val="000000"/>
          <w:sz w:val="20"/>
          <w:szCs w:val="20"/>
        </w:rPr>
        <w:t xml:space="preserve">de la Comisión o del Tribunal, </w:t>
      </w:r>
      <w:r w:rsidRPr="00324395">
        <w:rPr>
          <w:b/>
          <w:color w:val="000000"/>
          <w:sz w:val="20"/>
          <w:szCs w:val="20"/>
        </w:rPr>
        <w:t>realicen un acto de concentración declarado incompatible</w:t>
      </w:r>
      <w:r w:rsidRPr="00324395">
        <w:rPr>
          <w:color w:val="000000"/>
          <w:sz w:val="20"/>
          <w:szCs w:val="20"/>
        </w:rPr>
        <w:t xml:space="preserve"> por tener como efecto el disminuir, dañar o impedir la competencia y la libre concurrencia mediante decisión de la Comisión o </w:t>
      </w:r>
      <w:r w:rsidRPr="00324395">
        <w:rPr>
          <w:b/>
          <w:color w:val="000000"/>
          <w:sz w:val="20"/>
          <w:szCs w:val="20"/>
        </w:rPr>
        <w:t xml:space="preserve">no cumplan con las medidas ordenadas </w:t>
      </w:r>
      <w:r w:rsidRPr="00324395">
        <w:rPr>
          <w:color w:val="000000"/>
          <w:sz w:val="20"/>
          <w:szCs w:val="20"/>
        </w:rPr>
        <w:t>mediante decisión adoptada por la Comisión.</w:t>
      </w:r>
    </w:p>
    <w:p w:rsidR="002355F1" w:rsidRDefault="007A2753" w:rsidP="00D936C4">
      <w:pPr>
        <w:shd w:val="clear" w:color="auto" w:fill="FFFFFF"/>
        <w:spacing w:before="240" w:after="240" w:line="360" w:lineRule="auto"/>
        <w:jc w:val="both"/>
        <w:rPr>
          <w:color w:val="000000"/>
        </w:rPr>
      </w:pPr>
      <w:r>
        <w:rPr>
          <w:color w:val="000000"/>
        </w:rPr>
        <w:t xml:space="preserve">Hay que hacer notar que para las 7 conductas consideradas como típicas por la Ley 26876, </w:t>
      </w:r>
      <w:r w:rsidR="005A478B">
        <w:rPr>
          <w:color w:val="000000"/>
        </w:rPr>
        <w:t xml:space="preserve">la norma </w:t>
      </w:r>
      <w:r>
        <w:rPr>
          <w:color w:val="000000"/>
        </w:rPr>
        <w:t>les otorga</w:t>
      </w:r>
      <w:r w:rsidR="005A478B">
        <w:rPr>
          <w:color w:val="000000"/>
        </w:rPr>
        <w:t xml:space="preserve"> dos consecuencias jurídicas. El primer grupo de hechos (3 conductas) está sujeto a una multa de hasta 500 Unidades Impositivas Tributarias y el segundo grupo (4 conductas) a un límite impositivo no mayor al 10% de las ventas o ingresos percibidos por alguna empresa que desarrolle actividad eléctrica  involucrada en la concentración. </w:t>
      </w:r>
    </w:p>
    <w:p w:rsidR="002355F1" w:rsidRDefault="005A478B" w:rsidP="00D936C4">
      <w:pPr>
        <w:shd w:val="clear" w:color="auto" w:fill="FFFFFF"/>
        <w:spacing w:before="240" w:after="240" w:line="360" w:lineRule="auto"/>
        <w:jc w:val="both"/>
        <w:rPr>
          <w:color w:val="000000"/>
        </w:rPr>
      </w:pPr>
      <w:r>
        <w:rPr>
          <w:color w:val="000000"/>
        </w:rPr>
        <w:t xml:space="preserve">La conducta materia de discusión en el caso Enel, conforme a las resoluciones de inicio y sanción, se encuentra en el segundo grupo de conductas afectas a una multa de hasta el 10% de las ventas e ingresos. Resulta claro, entonces que el supuesto de hecho “lo lleven a cabo luego de presentada la solicitud pero antes de la decisión” sea uno que se encuentre determinado de forma clara y precisa tanto en el supuesto de hecho como en la consecuencia jurídica. </w:t>
      </w:r>
    </w:p>
    <w:p w:rsidR="002355F1" w:rsidRDefault="005A478B" w:rsidP="00D936C4">
      <w:pPr>
        <w:shd w:val="clear" w:color="auto" w:fill="FFFFFF"/>
        <w:spacing w:before="240" w:after="240" w:line="360" w:lineRule="auto"/>
        <w:jc w:val="both"/>
        <w:rPr>
          <w:color w:val="000000"/>
        </w:rPr>
      </w:pPr>
      <w:r>
        <w:rPr>
          <w:color w:val="000000"/>
        </w:rPr>
        <w:lastRenderedPageBreak/>
        <w:t xml:space="preserve">Es posible afirmar que el administrado puede ubicar dicha acción y comprender la consecuencia directa de la misma. Sin embargo, las dudas surgen cuando el artículo es analizado en su integridad y se busca comprender las razones de la distinción entre tener como consecuencia la sanción de 500 UIT o 10% de los ingresos. Estas dudas, para el caso Enel, se incrementan cuando, en primera instancia, la Comisión decide la imposición de 1000 UIT a modo de multa por la infracción al artículo 6 de la Ley. </w:t>
      </w:r>
    </w:p>
    <w:p w:rsidR="002355F1" w:rsidRDefault="005A478B" w:rsidP="00D936C4">
      <w:pPr>
        <w:shd w:val="clear" w:color="auto" w:fill="FFFFFF"/>
        <w:spacing w:before="240" w:after="240" w:line="360" w:lineRule="auto"/>
        <w:jc w:val="both"/>
        <w:rPr>
          <w:color w:val="000000"/>
        </w:rPr>
      </w:pPr>
      <w:r>
        <w:rPr>
          <w:color w:val="000000"/>
        </w:rPr>
        <w:t xml:space="preserve">En el razonamiento del administrado y atendiendo a la literalidad del artículo, resultaría ser más grave el acto de notificar y concentrar sin autorización, como el caso Enel, que la acción de no notificar, la cual tiene como consecuencia en el primer párrafo del artículo 6 la imposición de máximo 500 UIT, una sanción menor a la impuesta a Enel. Es decir, </w:t>
      </w:r>
      <w:r>
        <w:t>el legislador ha considerado</w:t>
      </w:r>
      <w:r>
        <w:rPr>
          <w:color w:val="000000"/>
        </w:rPr>
        <w:t xml:space="preserve"> otorgar más beneficios a quién demuestra un inexistente apego a la ley de control de conce</w:t>
      </w:r>
      <w:r>
        <w:t>ntraciones</w:t>
      </w:r>
      <w:r>
        <w:rPr>
          <w:color w:val="000000"/>
        </w:rPr>
        <w:t xml:space="preserve">. </w:t>
      </w:r>
    </w:p>
    <w:p w:rsidR="002355F1" w:rsidRDefault="005A478B" w:rsidP="00D936C4">
      <w:pPr>
        <w:shd w:val="clear" w:color="auto" w:fill="FFFFFF"/>
        <w:spacing w:before="240" w:after="240" w:line="360" w:lineRule="auto"/>
        <w:jc w:val="both"/>
        <w:rPr>
          <w:color w:val="000000"/>
        </w:rPr>
      </w:pPr>
      <w:r>
        <w:rPr>
          <w:color w:val="000000"/>
        </w:rPr>
        <w:t xml:space="preserve">Esto obliga a realizar un análisis íntegro del tipo infractor y observar si se encuentran deficiencias que impliquen la vulneración del principio de tipicidad de modo tal que no resulte claro para el administrado la adecuación o no de su conducta en la norma. </w:t>
      </w:r>
    </w:p>
    <w:p w:rsidR="002355F1" w:rsidRDefault="002919CA" w:rsidP="00D936C4">
      <w:pPr>
        <w:shd w:val="clear" w:color="auto" w:fill="FFFFFF"/>
        <w:spacing w:before="240" w:after="240" w:line="360" w:lineRule="auto"/>
        <w:jc w:val="both"/>
        <w:rPr>
          <w:color w:val="000000"/>
        </w:rPr>
      </w:pPr>
      <w:r>
        <w:rPr>
          <w:color w:val="000000"/>
        </w:rPr>
        <w:t>Así pues, e</w:t>
      </w:r>
      <w:r w:rsidR="005A478B">
        <w:rPr>
          <w:color w:val="000000"/>
        </w:rPr>
        <w:t xml:space="preserve">l problema detectado </w:t>
      </w:r>
      <w:r>
        <w:rPr>
          <w:color w:val="000000"/>
        </w:rPr>
        <w:t>en</w:t>
      </w:r>
      <w:r w:rsidR="005A478B">
        <w:rPr>
          <w:color w:val="000000"/>
        </w:rPr>
        <w:t xml:space="preserve"> el artículo 6 de la Ley 26876 es la aparente doble tipificación de la conducta “omisión de notificación y realización de la concentración sin autorización”. Esta situación se encuentra</w:t>
      </w:r>
      <w:r>
        <w:rPr>
          <w:color w:val="000000"/>
        </w:rPr>
        <w:t xml:space="preserve"> </w:t>
      </w:r>
      <w:r w:rsidR="005A478B">
        <w:rPr>
          <w:color w:val="000000"/>
        </w:rPr>
        <w:t xml:space="preserve">dispuesta en ambos párrafos y sujeta a una doble consecuencia, como es la imposición de 500 UIT o la del 10% de los ingresos. </w:t>
      </w:r>
    </w:p>
    <w:tbl>
      <w:tblPr>
        <w:tblStyle w:val="a0"/>
        <w:tblW w:w="8564" w:type="dxa"/>
        <w:jc w:val="center"/>
        <w:tblInd w:w="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4282"/>
        <w:gridCol w:w="4282"/>
      </w:tblGrid>
      <w:tr w:rsidR="002355F1" w:rsidRPr="001F214F" w:rsidTr="001F214F">
        <w:trPr>
          <w:trHeight w:val="107"/>
          <w:jc w:val="center"/>
        </w:trPr>
        <w:tc>
          <w:tcPr>
            <w:tcW w:w="4282" w:type="dxa"/>
            <w:tcBorders>
              <w:top w:val="dashed" w:sz="8" w:space="0" w:color="CCCCCC"/>
              <w:left w:val="dashed" w:sz="8" w:space="0" w:color="CCCCCC"/>
              <w:bottom w:val="dashed" w:sz="8" w:space="0" w:color="CCCCCC"/>
              <w:right w:val="dashed" w:sz="8" w:space="0" w:color="CCCCCC"/>
            </w:tcBorders>
            <w:shd w:val="clear" w:color="auto" w:fill="666666"/>
            <w:tcMar>
              <w:top w:w="0" w:type="dxa"/>
              <w:left w:w="140" w:type="dxa"/>
              <w:bottom w:w="0" w:type="dxa"/>
              <w:right w:w="140" w:type="dxa"/>
            </w:tcMar>
            <w:vAlign w:val="center"/>
          </w:tcPr>
          <w:p w:rsidR="002355F1" w:rsidRPr="000A7F18" w:rsidRDefault="005A478B" w:rsidP="00D936C4">
            <w:pPr>
              <w:widowControl w:val="0"/>
              <w:spacing w:line="360" w:lineRule="auto"/>
              <w:jc w:val="center"/>
              <w:rPr>
                <w:b/>
                <w:iCs/>
                <w:color w:val="000000"/>
                <w:sz w:val="21"/>
                <w:szCs w:val="21"/>
              </w:rPr>
            </w:pPr>
            <w:r w:rsidRPr="000A7F18">
              <w:rPr>
                <w:b/>
                <w:iCs/>
                <w:color w:val="000000"/>
                <w:sz w:val="21"/>
                <w:szCs w:val="21"/>
              </w:rPr>
              <w:t>500 UIT</w:t>
            </w:r>
          </w:p>
        </w:tc>
        <w:tc>
          <w:tcPr>
            <w:tcW w:w="4282" w:type="dxa"/>
            <w:tcBorders>
              <w:top w:val="dashed" w:sz="8" w:space="0" w:color="CCCCCC"/>
              <w:left w:val="dashed" w:sz="8" w:space="0" w:color="CCCCCC"/>
              <w:bottom w:val="dashed" w:sz="8" w:space="0" w:color="CCCCCC"/>
              <w:right w:val="dashed" w:sz="8" w:space="0" w:color="CCCCCC"/>
            </w:tcBorders>
            <w:shd w:val="clear" w:color="auto" w:fill="666666"/>
            <w:tcMar>
              <w:top w:w="0" w:type="dxa"/>
              <w:left w:w="140" w:type="dxa"/>
              <w:bottom w:w="0" w:type="dxa"/>
              <w:right w:w="140" w:type="dxa"/>
            </w:tcMar>
          </w:tcPr>
          <w:p w:rsidR="002355F1" w:rsidRPr="000A7F18" w:rsidRDefault="005A478B" w:rsidP="00D936C4">
            <w:pPr>
              <w:widowControl w:val="0"/>
              <w:spacing w:line="360" w:lineRule="auto"/>
              <w:jc w:val="center"/>
              <w:rPr>
                <w:b/>
                <w:iCs/>
                <w:color w:val="000000"/>
                <w:sz w:val="21"/>
                <w:szCs w:val="21"/>
              </w:rPr>
            </w:pPr>
            <w:r w:rsidRPr="000A7F18">
              <w:rPr>
                <w:b/>
                <w:iCs/>
                <w:color w:val="000000"/>
                <w:sz w:val="21"/>
                <w:szCs w:val="21"/>
              </w:rPr>
              <w:t>10%</w:t>
            </w:r>
          </w:p>
        </w:tc>
      </w:tr>
      <w:tr w:rsidR="002355F1" w:rsidRPr="001F214F" w:rsidTr="001F214F">
        <w:trPr>
          <w:trHeight w:val="177"/>
          <w:jc w:val="center"/>
        </w:trPr>
        <w:tc>
          <w:tcPr>
            <w:tcW w:w="4282" w:type="dxa"/>
            <w:tcBorders>
              <w:top w:val="dashed" w:sz="8" w:space="0" w:color="CCCCCC"/>
              <w:left w:val="dashed" w:sz="8" w:space="0" w:color="CCCCCC"/>
              <w:bottom w:val="dashed" w:sz="8" w:space="0" w:color="CCCCCC"/>
              <w:right w:val="dashed" w:sz="8" w:space="0" w:color="CCCCCC"/>
            </w:tcBorders>
            <w:shd w:val="clear" w:color="auto" w:fill="EFEFEF"/>
            <w:tcMar>
              <w:top w:w="0" w:type="dxa"/>
              <w:left w:w="140" w:type="dxa"/>
              <w:bottom w:w="0" w:type="dxa"/>
              <w:right w:w="140" w:type="dxa"/>
            </w:tcMar>
          </w:tcPr>
          <w:p w:rsidR="002355F1" w:rsidRPr="001F214F" w:rsidRDefault="005A478B" w:rsidP="00D936C4">
            <w:pPr>
              <w:widowControl w:val="0"/>
              <w:spacing w:line="360" w:lineRule="auto"/>
              <w:jc w:val="both"/>
              <w:rPr>
                <w:color w:val="000000"/>
                <w:sz w:val="20"/>
                <w:szCs w:val="20"/>
              </w:rPr>
            </w:pPr>
            <w:r w:rsidRPr="001F214F">
              <w:rPr>
                <w:color w:val="000000"/>
                <w:sz w:val="20"/>
                <w:szCs w:val="20"/>
              </w:rPr>
              <w:t>Omita la presentación de la solicitud de autorización de un acto de concentración antes de ser efectuado</w:t>
            </w:r>
          </w:p>
        </w:tc>
        <w:tc>
          <w:tcPr>
            <w:tcW w:w="4282" w:type="dxa"/>
            <w:tcBorders>
              <w:top w:val="dashed" w:sz="8" w:space="0" w:color="CCCCCC"/>
              <w:left w:val="dashed" w:sz="8" w:space="0" w:color="CCCCCC"/>
              <w:bottom w:val="dashed" w:sz="8" w:space="0" w:color="CCCCCC"/>
              <w:right w:val="dashed" w:sz="8" w:space="0" w:color="CCCCCC"/>
            </w:tcBorders>
            <w:shd w:val="clear" w:color="auto" w:fill="EFEFEF"/>
            <w:tcMar>
              <w:top w:w="0" w:type="dxa"/>
              <w:left w:w="140" w:type="dxa"/>
              <w:bottom w:w="0" w:type="dxa"/>
              <w:right w:w="140" w:type="dxa"/>
            </w:tcMar>
          </w:tcPr>
          <w:p w:rsidR="002355F1" w:rsidRPr="001F214F" w:rsidRDefault="005A478B" w:rsidP="00D936C4">
            <w:pPr>
              <w:widowControl w:val="0"/>
              <w:spacing w:line="360" w:lineRule="auto"/>
              <w:jc w:val="both"/>
              <w:rPr>
                <w:color w:val="000000"/>
                <w:sz w:val="20"/>
                <w:szCs w:val="20"/>
              </w:rPr>
            </w:pPr>
            <w:r w:rsidRPr="001F214F">
              <w:rPr>
                <w:color w:val="000000"/>
                <w:sz w:val="20"/>
                <w:szCs w:val="20"/>
              </w:rPr>
              <w:t>Realicen el acto de concentración omitiendo solicitar su autorización previa</w:t>
            </w:r>
          </w:p>
        </w:tc>
      </w:tr>
      <w:tr w:rsidR="002355F1" w:rsidRPr="001F214F" w:rsidTr="001F214F">
        <w:trPr>
          <w:trHeight w:val="177"/>
          <w:jc w:val="center"/>
        </w:trPr>
        <w:tc>
          <w:tcPr>
            <w:tcW w:w="4282" w:type="dxa"/>
            <w:tcBorders>
              <w:top w:val="dashed" w:sz="8" w:space="0" w:color="CCCCCC"/>
              <w:left w:val="dashed" w:sz="8" w:space="0" w:color="CCCCCC"/>
              <w:bottom w:val="dashed" w:sz="8" w:space="0" w:color="CCCCCC"/>
              <w:right w:val="dashed" w:sz="8" w:space="0" w:color="CCCCCC"/>
            </w:tcBorders>
            <w:tcMar>
              <w:top w:w="0" w:type="dxa"/>
              <w:left w:w="140" w:type="dxa"/>
              <w:bottom w:w="0" w:type="dxa"/>
              <w:right w:w="140" w:type="dxa"/>
            </w:tcMar>
          </w:tcPr>
          <w:p w:rsidR="002355F1" w:rsidRPr="001F214F" w:rsidRDefault="005A478B" w:rsidP="00D936C4">
            <w:pPr>
              <w:widowControl w:val="0"/>
              <w:spacing w:line="360" w:lineRule="auto"/>
              <w:jc w:val="both"/>
              <w:rPr>
                <w:color w:val="000000"/>
                <w:sz w:val="20"/>
                <w:szCs w:val="20"/>
              </w:rPr>
            </w:pPr>
            <w:r w:rsidRPr="001F214F">
              <w:rPr>
                <w:color w:val="000000"/>
                <w:sz w:val="20"/>
                <w:szCs w:val="20"/>
              </w:rPr>
              <w:t>Suministren datos inexactos en la solicitud presentada o respuesta a requerimientos</w:t>
            </w:r>
          </w:p>
        </w:tc>
        <w:tc>
          <w:tcPr>
            <w:tcW w:w="4282" w:type="dxa"/>
            <w:tcBorders>
              <w:top w:val="dashed" w:sz="8" w:space="0" w:color="CCCCCC"/>
              <w:left w:val="dashed" w:sz="8" w:space="0" w:color="CCCCCC"/>
              <w:bottom w:val="dashed" w:sz="8" w:space="0" w:color="CCCCCC"/>
              <w:right w:val="dashed" w:sz="8" w:space="0" w:color="CCCCCC"/>
            </w:tcBorders>
            <w:tcMar>
              <w:top w:w="0" w:type="dxa"/>
              <w:left w:w="140" w:type="dxa"/>
              <w:bottom w:w="0" w:type="dxa"/>
              <w:right w:w="140" w:type="dxa"/>
            </w:tcMar>
          </w:tcPr>
          <w:p w:rsidR="002355F1" w:rsidRPr="001F214F" w:rsidRDefault="005A478B" w:rsidP="00D936C4">
            <w:pPr>
              <w:widowControl w:val="0"/>
              <w:spacing w:line="360" w:lineRule="auto"/>
              <w:jc w:val="both"/>
              <w:rPr>
                <w:b/>
                <w:color w:val="000000"/>
                <w:sz w:val="20"/>
                <w:szCs w:val="20"/>
              </w:rPr>
            </w:pPr>
            <w:r w:rsidRPr="001F214F">
              <w:rPr>
                <w:b/>
                <w:color w:val="000000"/>
                <w:sz w:val="20"/>
                <w:szCs w:val="20"/>
              </w:rPr>
              <w:t>Lo lleven a cabo luego de presentada la solicitud pero antes de la decisión de la Comisión o Tribunal</w:t>
            </w:r>
          </w:p>
        </w:tc>
      </w:tr>
      <w:tr w:rsidR="002355F1" w:rsidRPr="001F214F" w:rsidTr="001F214F">
        <w:trPr>
          <w:trHeight w:val="224"/>
          <w:jc w:val="center"/>
        </w:trPr>
        <w:tc>
          <w:tcPr>
            <w:tcW w:w="4282" w:type="dxa"/>
            <w:tcBorders>
              <w:top w:val="dashed" w:sz="8" w:space="0" w:color="CCCCCC"/>
              <w:left w:val="dashed" w:sz="8" w:space="0" w:color="CCCCCC"/>
              <w:bottom w:val="dashed" w:sz="8" w:space="0" w:color="CCCCCC"/>
              <w:right w:val="dashed" w:sz="8" w:space="0" w:color="CCCCCC"/>
            </w:tcBorders>
            <w:tcMar>
              <w:top w:w="0" w:type="dxa"/>
              <w:left w:w="140" w:type="dxa"/>
              <w:bottom w:w="0" w:type="dxa"/>
              <w:right w:w="140" w:type="dxa"/>
            </w:tcMar>
          </w:tcPr>
          <w:p w:rsidR="002355F1" w:rsidRPr="001F214F" w:rsidRDefault="005A478B" w:rsidP="00D936C4">
            <w:pPr>
              <w:widowControl w:val="0"/>
              <w:spacing w:line="360" w:lineRule="auto"/>
              <w:jc w:val="both"/>
              <w:rPr>
                <w:color w:val="000000"/>
                <w:sz w:val="20"/>
                <w:szCs w:val="20"/>
              </w:rPr>
            </w:pPr>
            <w:r w:rsidRPr="001F214F">
              <w:rPr>
                <w:color w:val="000000"/>
                <w:sz w:val="20"/>
                <w:szCs w:val="20"/>
              </w:rPr>
              <w:t>No proporcionen información dentro de plazos establecidos</w:t>
            </w:r>
          </w:p>
        </w:tc>
        <w:tc>
          <w:tcPr>
            <w:tcW w:w="4282" w:type="dxa"/>
            <w:tcBorders>
              <w:top w:val="dashed" w:sz="8" w:space="0" w:color="CCCCCC"/>
              <w:left w:val="dashed" w:sz="8" w:space="0" w:color="CCCCCC"/>
              <w:bottom w:val="dashed" w:sz="8" w:space="0" w:color="CCCCCC"/>
              <w:right w:val="dashed" w:sz="8" w:space="0" w:color="CCCCCC"/>
            </w:tcBorders>
            <w:tcMar>
              <w:top w:w="0" w:type="dxa"/>
              <w:left w:w="140" w:type="dxa"/>
              <w:bottom w:w="0" w:type="dxa"/>
              <w:right w:w="140" w:type="dxa"/>
            </w:tcMar>
          </w:tcPr>
          <w:p w:rsidR="002355F1" w:rsidRPr="001F214F" w:rsidRDefault="005A478B" w:rsidP="00D936C4">
            <w:pPr>
              <w:widowControl w:val="0"/>
              <w:spacing w:line="360" w:lineRule="auto"/>
              <w:jc w:val="both"/>
              <w:rPr>
                <w:color w:val="000000"/>
                <w:sz w:val="20"/>
                <w:szCs w:val="20"/>
              </w:rPr>
            </w:pPr>
            <w:r w:rsidRPr="001F214F">
              <w:rPr>
                <w:color w:val="000000"/>
                <w:sz w:val="20"/>
                <w:szCs w:val="20"/>
              </w:rPr>
              <w:t>Realicen acto declarado incompatible por tener como efecto el disminuir, dañar o impedir la competencia mediante decisión de la Comisión</w:t>
            </w:r>
          </w:p>
        </w:tc>
      </w:tr>
      <w:tr w:rsidR="002355F1" w:rsidRPr="001F214F" w:rsidTr="001F214F">
        <w:trPr>
          <w:trHeight w:val="154"/>
          <w:jc w:val="center"/>
        </w:trPr>
        <w:tc>
          <w:tcPr>
            <w:tcW w:w="4282" w:type="dxa"/>
            <w:tcBorders>
              <w:top w:val="dashed" w:sz="8" w:space="0" w:color="CCCCCC"/>
              <w:left w:val="dashed" w:sz="8" w:space="0" w:color="CCCCCC"/>
              <w:bottom w:val="dashed" w:sz="8" w:space="0" w:color="CCCCCC"/>
              <w:right w:val="dashed" w:sz="8" w:space="0" w:color="CCCCCC"/>
            </w:tcBorders>
            <w:tcMar>
              <w:top w:w="0" w:type="dxa"/>
              <w:left w:w="140" w:type="dxa"/>
              <w:bottom w:w="0" w:type="dxa"/>
              <w:right w:w="140" w:type="dxa"/>
            </w:tcMar>
          </w:tcPr>
          <w:p w:rsidR="002355F1" w:rsidRPr="001F214F" w:rsidRDefault="002355F1" w:rsidP="00D936C4">
            <w:pPr>
              <w:widowControl w:val="0"/>
              <w:spacing w:line="360" w:lineRule="auto"/>
              <w:jc w:val="both"/>
              <w:rPr>
                <w:color w:val="000000"/>
                <w:sz w:val="20"/>
                <w:szCs w:val="20"/>
              </w:rPr>
            </w:pPr>
          </w:p>
        </w:tc>
        <w:tc>
          <w:tcPr>
            <w:tcW w:w="4282" w:type="dxa"/>
            <w:tcBorders>
              <w:top w:val="dashed" w:sz="8" w:space="0" w:color="CCCCCC"/>
              <w:left w:val="dashed" w:sz="8" w:space="0" w:color="CCCCCC"/>
              <w:bottom w:val="dashed" w:sz="8" w:space="0" w:color="CCCCCC"/>
              <w:right w:val="dashed" w:sz="8" w:space="0" w:color="CCCCCC"/>
            </w:tcBorders>
            <w:tcMar>
              <w:top w:w="0" w:type="dxa"/>
              <w:left w:w="140" w:type="dxa"/>
              <w:bottom w:w="0" w:type="dxa"/>
              <w:right w:w="140" w:type="dxa"/>
            </w:tcMar>
          </w:tcPr>
          <w:p w:rsidR="002355F1" w:rsidRPr="001F214F" w:rsidRDefault="005A478B" w:rsidP="00D936C4">
            <w:pPr>
              <w:widowControl w:val="0"/>
              <w:spacing w:line="360" w:lineRule="auto"/>
              <w:jc w:val="both"/>
              <w:rPr>
                <w:color w:val="000000"/>
                <w:sz w:val="20"/>
                <w:szCs w:val="20"/>
              </w:rPr>
            </w:pPr>
            <w:r w:rsidRPr="001F214F">
              <w:rPr>
                <w:color w:val="000000"/>
                <w:sz w:val="20"/>
                <w:szCs w:val="20"/>
              </w:rPr>
              <w:t xml:space="preserve">No cumplan con las medidas ordenadas mediante </w:t>
            </w:r>
            <w:r w:rsidRPr="001F214F">
              <w:rPr>
                <w:color w:val="000000"/>
                <w:sz w:val="20"/>
                <w:szCs w:val="20"/>
              </w:rPr>
              <w:lastRenderedPageBreak/>
              <w:t>decisión adoptada por la Comisión.</w:t>
            </w:r>
          </w:p>
        </w:tc>
      </w:tr>
    </w:tbl>
    <w:p w:rsidR="002355F1" w:rsidRDefault="005A478B" w:rsidP="00D936C4">
      <w:pPr>
        <w:shd w:val="clear" w:color="auto" w:fill="FFFFFF"/>
        <w:spacing w:before="240" w:after="240" w:line="360" w:lineRule="auto"/>
        <w:ind w:firstLine="720"/>
        <w:jc w:val="both"/>
        <w:rPr>
          <w:color w:val="000000"/>
          <w:sz w:val="20"/>
          <w:szCs w:val="20"/>
        </w:rPr>
      </w:pPr>
      <w:r>
        <w:rPr>
          <w:color w:val="000000"/>
          <w:sz w:val="20"/>
          <w:szCs w:val="20"/>
        </w:rPr>
        <w:lastRenderedPageBreak/>
        <w:t>Elaboración propia</w:t>
      </w:r>
    </w:p>
    <w:p w:rsidR="002355F1" w:rsidRDefault="005A478B" w:rsidP="00D936C4">
      <w:pPr>
        <w:shd w:val="clear" w:color="auto" w:fill="FFFFFF"/>
        <w:spacing w:before="240" w:after="240" w:line="360" w:lineRule="auto"/>
        <w:jc w:val="both"/>
        <w:rPr>
          <w:color w:val="000000"/>
        </w:rPr>
      </w:pPr>
      <w:r>
        <w:rPr>
          <w:color w:val="000000"/>
        </w:rPr>
        <w:t xml:space="preserve">¿Puede otorgarse a una misma conducta dos consecuencias jurídicas distintas? </w:t>
      </w:r>
      <w:r w:rsidR="002919CA">
        <w:rPr>
          <w:color w:val="000000"/>
        </w:rPr>
        <w:t>En</w:t>
      </w:r>
      <w:r>
        <w:rPr>
          <w:color w:val="000000"/>
        </w:rPr>
        <w:t xml:space="preserve"> razón </w:t>
      </w:r>
      <w:r w:rsidR="002919CA">
        <w:rPr>
          <w:color w:val="000000"/>
        </w:rPr>
        <w:t>a</w:t>
      </w:r>
      <w:r>
        <w:rPr>
          <w:color w:val="000000"/>
        </w:rPr>
        <w:t xml:space="preserve"> la tipicidad</w:t>
      </w:r>
      <w:r w:rsidR="002919CA">
        <w:rPr>
          <w:color w:val="000000"/>
        </w:rPr>
        <w:t>,</w:t>
      </w:r>
      <w:r>
        <w:rPr>
          <w:color w:val="000000"/>
        </w:rPr>
        <w:t xml:space="preserve"> </w:t>
      </w:r>
      <w:r w:rsidR="002919CA">
        <w:rPr>
          <w:color w:val="000000"/>
        </w:rPr>
        <w:t xml:space="preserve">no. ¿Por qué no? Pues no resultaría factible </w:t>
      </w:r>
      <w:r>
        <w:rPr>
          <w:color w:val="000000"/>
        </w:rPr>
        <w:t xml:space="preserve">que el administrado no pueda identificar del texto del artículo de qué factor depende la determinación, frente a una misma conducta, de una consecuencia u otra. </w:t>
      </w:r>
    </w:p>
    <w:p w:rsidR="002355F1" w:rsidRDefault="005A478B" w:rsidP="00123ED2">
      <w:pPr>
        <w:pStyle w:val="Ttulo3"/>
        <w:numPr>
          <w:ilvl w:val="3"/>
          <w:numId w:val="3"/>
        </w:numPr>
        <w:spacing w:line="360" w:lineRule="auto"/>
        <w:rPr>
          <w:color w:val="000000"/>
          <w:sz w:val="24"/>
          <w:szCs w:val="24"/>
        </w:rPr>
      </w:pPr>
      <w:bookmarkStart w:id="27" w:name="_Toc47387734"/>
      <w:r>
        <w:rPr>
          <w:color w:val="000000"/>
          <w:sz w:val="24"/>
          <w:szCs w:val="24"/>
        </w:rPr>
        <w:t>Buscando el sentido al artículo 6 de la Ley 26876</w:t>
      </w:r>
      <w:bookmarkEnd w:id="27"/>
    </w:p>
    <w:p w:rsidR="002355F1" w:rsidRDefault="005A478B" w:rsidP="00D936C4">
      <w:pPr>
        <w:shd w:val="clear" w:color="auto" w:fill="FFFFFF"/>
        <w:spacing w:before="240" w:after="240" w:line="360" w:lineRule="auto"/>
        <w:jc w:val="both"/>
        <w:rPr>
          <w:color w:val="000000"/>
        </w:rPr>
      </w:pPr>
      <w:r>
        <w:rPr>
          <w:color w:val="000000"/>
        </w:rPr>
        <w:t>Con cargo a realizar la interpretación que considero justifica estas dos consecuencias para un, aparente, mismo acto, debo resaltar desde ya el tipo infractor no resulta claro y puede, como fue en el caso</w:t>
      </w:r>
      <w:r w:rsidR="00D12AF7">
        <w:rPr>
          <w:color w:val="000000"/>
        </w:rPr>
        <w:t xml:space="preserve"> de la defensa de</w:t>
      </w:r>
      <w:r>
        <w:rPr>
          <w:color w:val="000000"/>
        </w:rPr>
        <w:t xml:space="preserve"> Enel, llevar a cuestionar todo el artículo 6 de la Ley 26876</w:t>
      </w:r>
      <w:r w:rsidR="00D12AF7">
        <w:rPr>
          <w:color w:val="000000"/>
        </w:rPr>
        <w:t xml:space="preserve">. En particular, Enel ensayó una interpretación que sustentaba la existencia de dos consecuencias jurídicas para una aparente misma conducta. Implantada la duda sobre la claridad del artículo 6, </w:t>
      </w:r>
      <w:r w:rsidR="00E17746">
        <w:rPr>
          <w:color w:val="000000"/>
        </w:rPr>
        <w:t xml:space="preserve">Enel </w:t>
      </w:r>
      <w:r w:rsidR="00D12AF7">
        <w:rPr>
          <w:color w:val="000000"/>
        </w:rPr>
        <w:t xml:space="preserve">propuso la reinterpretación el artículo 6 en su integridad, afectando incluso el supuesto de </w:t>
      </w:r>
      <w:r>
        <w:rPr>
          <w:color w:val="000000"/>
        </w:rPr>
        <w:t>concentración sin autorización</w:t>
      </w:r>
      <w:r w:rsidR="00D12AF7">
        <w:rPr>
          <w:color w:val="000000"/>
        </w:rPr>
        <w:t>, fundamento de la sanción impuesta a Enel.</w:t>
      </w:r>
      <w:r w:rsidR="00E17746">
        <w:rPr>
          <w:color w:val="000000"/>
        </w:rPr>
        <w:t xml:space="preserve"> Sin perjuicio de que consideramos que el supuesto por el cual fue sancionado Enel es claro, es importante reiterar que la falta de claridad en ciertas secciones del artículo y la aparente duplicidad de consecuencias jurídicas puede abrir la discusión y llevar a cuestionamientos que sometan </w:t>
      </w:r>
      <w:r w:rsidR="00D758F4">
        <w:rPr>
          <w:color w:val="000000"/>
        </w:rPr>
        <w:t>a escrutinio el genésis del supuesto infractor en la norma .</w:t>
      </w:r>
      <w:r w:rsidR="00E17746">
        <w:rPr>
          <w:color w:val="000000"/>
        </w:rPr>
        <w:t xml:space="preserve"> </w:t>
      </w:r>
    </w:p>
    <w:p w:rsidR="002355F1" w:rsidRDefault="005A478B" w:rsidP="00D936C4">
      <w:pPr>
        <w:shd w:val="clear" w:color="auto" w:fill="FFFFFF"/>
        <w:spacing w:before="240" w:after="240" w:line="360" w:lineRule="auto"/>
        <w:jc w:val="both"/>
        <w:rPr>
          <w:color w:val="000000"/>
        </w:rPr>
      </w:pPr>
      <w:r>
        <w:rPr>
          <w:color w:val="000000"/>
        </w:rPr>
        <w:t>Partimos de que la autoridad no puede considerar a una conducta como típica e imponer a la misma dos consecuencias jurídicas sin especificar de qu</w:t>
      </w:r>
      <w:r>
        <w:t>é factor</w:t>
      </w:r>
      <w:r>
        <w:rPr>
          <w:color w:val="000000"/>
        </w:rPr>
        <w:t xml:space="preserve"> depende la adopción de una u otra consecuencia. Entonces, una interpretación es asumir que el primer párrafo, al tener un límite de 500 UIT, se sujeta a situaciones menos gravosas que las que tienen como consecuencia hasta el 10% de los ingresos y esta distinción podría tener como motivo</w:t>
      </w:r>
      <w:r>
        <w:t xml:space="preserve"> </w:t>
      </w:r>
      <w:r>
        <w:rPr>
          <w:color w:val="000000"/>
        </w:rPr>
        <w:t>que es altamente probable que el monto que se obtenga tras el cálculo del 10% de los ingresos de las empresas involucradas en la operación, en caso sean infractoras, sean superiores a 500 UIT, correspondiendo este apartado entonces a conductas mucho más graves a las determinadas en el primer párrafo.</w:t>
      </w:r>
    </w:p>
    <w:p w:rsidR="002355F1" w:rsidRDefault="005A478B" w:rsidP="00D936C4">
      <w:pPr>
        <w:shd w:val="clear" w:color="auto" w:fill="FFFFFF"/>
        <w:spacing w:before="240" w:after="240" w:line="360" w:lineRule="auto"/>
        <w:jc w:val="both"/>
        <w:rPr>
          <w:color w:val="000000"/>
        </w:rPr>
      </w:pPr>
      <w:r>
        <w:rPr>
          <w:color w:val="000000"/>
        </w:rPr>
        <w:lastRenderedPageBreak/>
        <w:t>La interpretación de la gravosidad del segundo párrafo nos llevará necesariamente a considerar que estas conducta van a depender del contenido de la autorización final otorgada o no por la Comisión. Es decir, si la autorización del agente finalmente, fue aprobada con condiciones o denegada, esto agravaría aún más los hechos contemplados en el segundo párrafo e incluso podríamos ensayar una propuesta de interpretación conforme a lo expuesto:</w:t>
      </w:r>
    </w:p>
    <w:p w:rsidR="003E1A6C" w:rsidRDefault="005A478B" w:rsidP="003E1A6C">
      <w:pPr>
        <w:shd w:val="clear" w:color="auto" w:fill="FFFFFF"/>
        <w:spacing w:before="240" w:after="240" w:line="360" w:lineRule="auto"/>
        <w:ind w:left="720"/>
        <w:jc w:val="both"/>
        <w:rPr>
          <w:b/>
          <w:color w:val="000000"/>
          <w:sz w:val="20"/>
          <w:szCs w:val="20"/>
        </w:rPr>
      </w:pPr>
      <w:r w:rsidRPr="00324395">
        <w:rPr>
          <w:b/>
          <w:color w:val="000000"/>
          <w:sz w:val="20"/>
          <w:szCs w:val="20"/>
        </w:rPr>
        <w:t>Ley 26876</w:t>
      </w:r>
    </w:p>
    <w:p w:rsidR="002355F1" w:rsidRPr="001F214F" w:rsidRDefault="005A478B" w:rsidP="003E1A6C">
      <w:pPr>
        <w:shd w:val="clear" w:color="auto" w:fill="FFFFFF"/>
        <w:spacing w:before="240" w:after="240" w:line="360" w:lineRule="auto"/>
        <w:ind w:left="720"/>
        <w:jc w:val="both"/>
        <w:rPr>
          <w:b/>
          <w:color w:val="000000"/>
          <w:sz w:val="20"/>
          <w:szCs w:val="20"/>
        </w:rPr>
      </w:pPr>
      <w:r w:rsidRPr="00324395">
        <w:rPr>
          <w:color w:val="000000"/>
          <w:sz w:val="20"/>
          <w:szCs w:val="20"/>
        </w:rPr>
        <w:t>Artículo 6.- (...)</w:t>
      </w:r>
      <w:r w:rsidR="00ED5781">
        <w:rPr>
          <w:color w:val="000000"/>
          <w:sz w:val="20"/>
          <w:szCs w:val="20"/>
        </w:rPr>
        <w:t xml:space="preserve"> </w:t>
      </w:r>
      <w:r w:rsidRPr="00324395">
        <w:rPr>
          <w:color w:val="000000"/>
          <w:sz w:val="20"/>
          <w:szCs w:val="20"/>
        </w:rPr>
        <w:t xml:space="preserve">Sin perjuicio de lo señalado en el párrafo precedente, la Comisión podrá importar multas de hasta el 10% de las ventas o ingresos brutos percibidos (...) a las personas o empresas (...)  que: (i) realicen el acto de concentración omitiendo solicitar su autorización previa o lo lleven a cabo luego de presentada la solicitud pero antes de la decisión de la Comisión o del Tribunal </w:t>
      </w:r>
      <w:r w:rsidRPr="00324395">
        <w:rPr>
          <w:i/>
          <w:color w:val="000000"/>
          <w:sz w:val="20"/>
          <w:szCs w:val="20"/>
        </w:rPr>
        <w:t xml:space="preserve">(y éste acto realizado sea) </w:t>
      </w:r>
      <w:r w:rsidRPr="00324395">
        <w:rPr>
          <w:color w:val="000000"/>
          <w:sz w:val="20"/>
          <w:szCs w:val="20"/>
        </w:rPr>
        <w:t>declarado incompatible por tener como efecto el disminuir, dañar o impedir la competencia y la libre concurrencia mediante decisión de la Comisión o (ii) no cumplan con las medidas ordenadas mediante decisión adoptada por la Comisión.</w:t>
      </w:r>
    </w:p>
    <w:p w:rsidR="002355F1" w:rsidRDefault="005A478B" w:rsidP="00D936C4">
      <w:pPr>
        <w:shd w:val="clear" w:color="auto" w:fill="FFFFFF"/>
        <w:spacing w:before="240" w:after="240" w:line="360" w:lineRule="auto"/>
        <w:jc w:val="both"/>
      </w:pPr>
      <w:r>
        <w:t>Cabe desarrollar esta interpretación del supuesto “omisión de notificación y realización del acto”, bajo el criterio de gravosidad expuesto. El primer párrafo respondería a una infracción formal y automática, independiente de la ejecución o no de la operación de concentración. Se sanciona el acto por no dar a conocer a la autoridad que se está realizando un acto que debe ser revisado. La idea es que una señal sea generada para que el sistema sea creíble, en el sentido de que toda concentración en el ámbito de la ley sea notificada. Por otro lado, el segundo párrafo -materia del Informe- supone no solo haber llevado a cabo una operación que no fue notificada, sino que de haberlo sido o sin haberlo sido, pero la Comisión la evalúa y determina la incompatibilidad de la misma con el mercado. Resulta esta una infracción sustantiva por haber realizado una operación con efectos negativos que no habría sido autorizada o lo habría sido bajo condiciones.</w:t>
      </w:r>
    </w:p>
    <w:p w:rsidR="002355F1" w:rsidRDefault="005A478B" w:rsidP="00D936C4">
      <w:pPr>
        <w:shd w:val="clear" w:color="auto" w:fill="FFFFFF"/>
        <w:spacing w:before="240" w:after="240" w:line="360" w:lineRule="auto"/>
        <w:jc w:val="both"/>
        <w:rPr>
          <w:color w:val="000000"/>
        </w:rPr>
      </w:pPr>
      <w:r>
        <w:rPr>
          <w:color w:val="000000"/>
        </w:rPr>
        <w:t>La interpretación debe guardar coherencia con los objetivos perseguidos por la norma de concentraciones. Si materializamos la interpretación del artículo 6 conforme a que el segundo párrafo corresponde a una situación más gravosa, situaciones como la realización de la concentración sin autorización post notificación</w:t>
      </w:r>
      <w:r w:rsidR="003E1A6C">
        <w:rPr>
          <w:color w:val="000000"/>
        </w:rPr>
        <w:t>,</w:t>
      </w:r>
      <w:r>
        <w:rPr>
          <w:color w:val="000000"/>
        </w:rPr>
        <w:t xml:space="preserve"> pero que </w:t>
      </w:r>
      <w:r w:rsidR="003E1A6C">
        <w:rPr>
          <w:color w:val="000000"/>
        </w:rPr>
        <w:t>al ser autorizada</w:t>
      </w:r>
      <w:r>
        <w:rPr>
          <w:color w:val="000000"/>
        </w:rPr>
        <w:t xml:space="preserve">, esta </w:t>
      </w:r>
      <w:r w:rsidR="003E1A6C">
        <w:rPr>
          <w:color w:val="000000"/>
        </w:rPr>
        <w:t xml:space="preserve">no </w:t>
      </w:r>
      <w:r>
        <w:rPr>
          <w:color w:val="000000"/>
        </w:rPr>
        <w:t xml:space="preserve">haya sido </w:t>
      </w:r>
      <w:r w:rsidR="003E1A6C">
        <w:rPr>
          <w:color w:val="000000"/>
        </w:rPr>
        <w:t>objeto de</w:t>
      </w:r>
      <w:r>
        <w:rPr>
          <w:color w:val="000000"/>
        </w:rPr>
        <w:t xml:space="preserve"> condiciones, puede verse sin sanción por el sistema. Solo, en el extremo propuesto, si la operación es aprobada con condiciones o denegada, esta calificaría como una infracción </w:t>
      </w:r>
      <w:r>
        <w:rPr>
          <w:color w:val="000000"/>
        </w:rPr>
        <w:lastRenderedPageBreak/>
        <w:t>contemplada en el artículo 6. Esta interpretación habría llevado a que Enel no sea sancionada, en tanto su operación fue aprobada por la Comisión sin condiciones.</w:t>
      </w:r>
    </w:p>
    <w:p w:rsidR="002355F1" w:rsidRDefault="005A478B" w:rsidP="00D936C4">
      <w:pPr>
        <w:shd w:val="clear" w:color="auto" w:fill="FFFFFF"/>
        <w:spacing w:before="240" w:after="240" w:line="360" w:lineRule="auto"/>
        <w:jc w:val="both"/>
        <w:rPr>
          <w:color w:val="000000"/>
        </w:rPr>
      </w:pPr>
      <w:r>
        <w:rPr>
          <w:color w:val="000000"/>
        </w:rPr>
        <w:t>Entonces, ¿cómo alcanzamos una interpretación que no genere incentivos a omitir la notificación de la operación y que esté acorde al propósito de la norma de concentraciones?</w:t>
      </w:r>
    </w:p>
    <w:p w:rsidR="002355F1" w:rsidRDefault="003E1A6C" w:rsidP="00D936C4">
      <w:pPr>
        <w:shd w:val="clear" w:color="auto" w:fill="FFFFFF"/>
        <w:spacing w:before="240" w:after="240" w:line="360" w:lineRule="auto"/>
        <w:jc w:val="both"/>
        <w:rPr>
          <w:color w:val="000000"/>
        </w:rPr>
      </w:pPr>
      <w:r>
        <w:rPr>
          <w:color w:val="000000"/>
        </w:rPr>
        <w:t>Recordemos, e</w:t>
      </w:r>
      <w:r w:rsidR="005A478B">
        <w:rPr>
          <w:color w:val="000000"/>
        </w:rPr>
        <w:t>l control de concentraciones busca que aquellos actos de fusión o adquisición que impliquen un cambio de control así como el ingreso o salida de los agentes en el mercado puedan ser verificados de forma previa por la autoridad de competencia. Este control previo, que sujeta la realización de actos al pronunciamiento de la autoridad es fundamental, pues una vez realizada la concentración, los efectos en el mercado, y probablemente el daño, resulten complicados de revertir en el corto plazo. En esa línea, el control previo requiere que se suspenda la operación hasta el pronunciamiento de la autoridad, a fin de que la autoridad logre su objetivo de estudiar las operaciones propuestas y pueda determinar si son o no dañinas para el mercado.</w:t>
      </w:r>
    </w:p>
    <w:p w:rsidR="002355F1" w:rsidRDefault="005A478B" w:rsidP="00D936C4">
      <w:pPr>
        <w:shd w:val="clear" w:color="auto" w:fill="FFFFFF"/>
        <w:spacing w:before="240" w:after="240" w:line="360" w:lineRule="auto"/>
        <w:jc w:val="both"/>
        <w:rPr>
          <w:color w:val="000000"/>
        </w:rPr>
      </w:pPr>
      <w:r>
        <w:rPr>
          <w:color w:val="000000"/>
        </w:rPr>
        <w:t xml:space="preserve">Con el objetivo de la norma de concentraciones en mente, es importante una nueva interpretación que </w:t>
      </w:r>
      <w:r>
        <w:t xml:space="preserve">abarque supuestos como </w:t>
      </w:r>
      <w:r>
        <w:rPr>
          <w:color w:val="000000"/>
        </w:rPr>
        <w:t xml:space="preserve">los actos de concentración que habiendo sido notificados, </w:t>
      </w:r>
      <w:r>
        <w:t>sean</w:t>
      </w:r>
      <w:r>
        <w:rPr>
          <w:color w:val="000000"/>
        </w:rPr>
        <w:t xml:space="preserve"> realizados y estos no hayan sido identificados en el procedimiento regular de autorización como nocivos a la competencia. Es decir, una interpretación que  logre proteger a cabalidad una de las herramientas fundamentales del control de concentraciones como es la obligación de suspender la operación hasta el pronunciamiento de la autoridad. Caso contrario, si se tuviera que esperar a que el pronunciamiento de autorización considere como necesarias las condiciones o denegar la operación, la infracción no atendería a la razón ser de la norma de concentración, controlar las operaciones a realizar y que se suspendan las operaciones hasta su pronunciamiento, sino a los efectos</w:t>
      </w:r>
      <w:r w:rsidR="00197C5E">
        <w:rPr>
          <w:color w:val="000000"/>
        </w:rPr>
        <w:t xml:space="preserve">, </w:t>
      </w:r>
      <w:r>
        <w:rPr>
          <w:color w:val="000000"/>
        </w:rPr>
        <w:t>pudiendo ser considerado incluso como un control ex-post.</w:t>
      </w:r>
    </w:p>
    <w:p w:rsidR="002355F1" w:rsidRDefault="005A478B" w:rsidP="00D936C4">
      <w:pPr>
        <w:shd w:val="clear" w:color="auto" w:fill="FFFFFF"/>
        <w:spacing w:before="240" w:after="240" w:line="360" w:lineRule="auto"/>
        <w:jc w:val="both"/>
        <w:rPr>
          <w:color w:val="000000"/>
        </w:rPr>
      </w:pPr>
      <w:r>
        <w:rPr>
          <w:color w:val="000000"/>
        </w:rPr>
        <w:t>La interpretación que se propone es una que, a efectos de otorgar claridad, también atienda a los objetivos de la norma. La lógica de gravosidad se mantiene, sin que esta implique una distorsión del artículo 6 ni un menoscabo a la potestad sancionadora del Indecopi.</w:t>
      </w:r>
    </w:p>
    <w:p w:rsidR="002355F1" w:rsidRDefault="005A478B" w:rsidP="00D936C4">
      <w:pPr>
        <w:shd w:val="clear" w:color="auto" w:fill="FFFFFF"/>
        <w:spacing w:before="240" w:after="240" w:line="360" w:lineRule="auto"/>
        <w:jc w:val="both"/>
        <w:rPr>
          <w:color w:val="000000"/>
        </w:rPr>
      </w:pPr>
      <w:r>
        <w:rPr>
          <w:color w:val="000000"/>
        </w:rPr>
        <w:lastRenderedPageBreak/>
        <w:t xml:space="preserve">Bajo la premisa de que no es posible una doble consecuencia a una, aparente, misma conducta, el objetivo es encontrar el diferenciador entre la primera omisión mencionada en el primer párrafo de la correspondiente al segundo. </w:t>
      </w:r>
    </w:p>
    <w:p w:rsidR="002355F1" w:rsidRDefault="005A478B" w:rsidP="00D936C4">
      <w:pPr>
        <w:numPr>
          <w:ilvl w:val="0"/>
          <w:numId w:val="14"/>
        </w:numPr>
        <w:shd w:val="clear" w:color="auto" w:fill="FFFFFF"/>
        <w:spacing w:line="360" w:lineRule="auto"/>
        <w:jc w:val="both"/>
        <w:rPr>
          <w:color w:val="000000"/>
        </w:rPr>
      </w:pPr>
      <w:r>
        <w:rPr>
          <w:color w:val="000000"/>
        </w:rPr>
        <w:t>Caso 1: Que el supuesto de hecho “Omitan la presentación de la solicitud de autorización de un acto de concentración antes de ser efectuado” tenga como consecuencia la aplicación de una multa de hasta 500 UIT.</w:t>
      </w:r>
    </w:p>
    <w:p w:rsidR="00197C5E" w:rsidRDefault="00197C5E" w:rsidP="00197C5E">
      <w:pPr>
        <w:shd w:val="clear" w:color="auto" w:fill="FFFFFF"/>
        <w:spacing w:line="360" w:lineRule="auto"/>
        <w:ind w:left="720"/>
        <w:jc w:val="both"/>
        <w:rPr>
          <w:color w:val="000000"/>
        </w:rPr>
      </w:pPr>
    </w:p>
    <w:p w:rsidR="002355F1" w:rsidRDefault="005A478B" w:rsidP="00D936C4">
      <w:pPr>
        <w:numPr>
          <w:ilvl w:val="0"/>
          <w:numId w:val="14"/>
        </w:numPr>
        <w:shd w:val="clear" w:color="auto" w:fill="FFFFFF"/>
        <w:spacing w:line="360" w:lineRule="auto"/>
        <w:jc w:val="both"/>
        <w:rPr>
          <w:color w:val="000000"/>
        </w:rPr>
      </w:pPr>
      <w:r>
        <w:rPr>
          <w:color w:val="000000"/>
        </w:rPr>
        <w:t>Caso 2: Que el supuesto de hecho “Realicen el acto de concentración omitiendo solicitar su autorización previa” tenga como consecuencia la aplicación de una multa que tenga como importe hasta el 10% de las ventas o ingresos brutos percibidos por las empresas que desarrollan alguna actividad eléctrica.</w:t>
      </w:r>
    </w:p>
    <w:p w:rsidR="002355F1" w:rsidRDefault="002355F1" w:rsidP="00D936C4">
      <w:pPr>
        <w:shd w:val="clear" w:color="auto" w:fill="FFFFFF"/>
        <w:spacing w:line="360" w:lineRule="auto"/>
        <w:ind w:left="720"/>
        <w:jc w:val="both"/>
        <w:rPr>
          <w:color w:val="000000"/>
        </w:rPr>
      </w:pPr>
    </w:p>
    <w:p w:rsidR="002355F1" w:rsidRDefault="005A478B" w:rsidP="00D936C4">
      <w:pPr>
        <w:shd w:val="clear" w:color="auto" w:fill="FFFFFF"/>
        <w:spacing w:line="360" w:lineRule="auto"/>
        <w:jc w:val="both"/>
        <w:rPr>
          <w:color w:val="000000"/>
        </w:rPr>
      </w:pPr>
      <w:r>
        <w:rPr>
          <w:color w:val="000000"/>
        </w:rPr>
        <w:t>La interpretación propuesta va a recoger los siguientes puntos: (i) que la autoridad identifica dos supuestos de hechos; (ii) conforme a lo expuesto líneas arriba, el 10% de los ingresos en las empresas del sector eléctrico siempre va a significar un monto superior a 500 UIT y en razón a ello, indefectiblemente, las multas sujetas al 10% de ingresos van a ser superiores a 500 UIT; y, (ii) esta diferencia está relacionada entonces que existe una intención de castigar con mayor severidad a un grupo de conductas a través del 10%. En esa línea, la propuesta de interpretación es la siguiente:</w:t>
      </w:r>
    </w:p>
    <w:p w:rsidR="002355F1" w:rsidRDefault="002355F1" w:rsidP="00D936C4">
      <w:pPr>
        <w:shd w:val="clear" w:color="auto" w:fill="FFFFFF"/>
        <w:spacing w:line="360" w:lineRule="auto"/>
        <w:jc w:val="both"/>
        <w:rPr>
          <w:color w:val="000000"/>
        </w:rPr>
      </w:pPr>
    </w:p>
    <w:p w:rsidR="002355F1" w:rsidRDefault="005A478B" w:rsidP="00D936C4">
      <w:pPr>
        <w:numPr>
          <w:ilvl w:val="0"/>
          <w:numId w:val="16"/>
        </w:numPr>
        <w:shd w:val="clear" w:color="auto" w:fill="FFFFFF"/>
        <w:spacing w:line="360" w:lineRule="auto"/>
        <w:jc w:val="both"/>
        <w:rPr>
          <w:color w:val="000000"/>
        </w:rPr>
      </w:pPr>
      <w:r>
        <w:rPr>
          <w:color w:val="000000"/>
        </w:rPr>
        <w:t xml:space="preserve">Para el Caso 1, que identificamos como el de consecuencia menos gravosa, omitir la presentación de la solicitud de un acto antes de ser efectuado debe atender a que el agente económico participante de la concentración, tal y como se desprende del artículo, omitió la presentación de la solicitud; sin embargo, una vez realizado el acto, detectó su omisión y regularizó dicha situación mediante su presentación a la Comisión. Es decir, el tipo infractor comprende que la existencia de una omisión; sin embargo, esta pudo ser conocida por el acercamiento del agente a la Comisión. </w:t>
      </w:r>
    </w:p>
    <w:p w:rsidR="00197C5E" w:rsidRDefault="00197C5E" w:rsidP="00197C5E">
      <w:pPr>
        <w:shd w:val="clear" w:color="auto" w:fill="FFFFFF"/>
        <w:spacing w:line="360" w:lineRule="auto"/>
        <w:ind w:left="720"/>
        <w:jc w:val="both"/>
        <w:rPr>
          <w:color w:val="000000"/>
        </w:rPr>
      </w:pPr>
    </w:p>
    <w:p w:rsidR="002355F1" w:rsidRDefault="005A478B" w:rsidP="00D936C4">
      <w:pPr>
        <w:numPr>
          <w:ilvl w:val="0"/>
          <w:numId w:val="16"/>
        </w:numPr>
        <w:shd w:val="clear" w:color="auto" w:fill="FFFFFF"/>
        <w:spacing w:line="360" w:lineRule="auto"/>
        <w:jc w:val="both"/>
        <w:rPr>
          <w:color w:val="000000"/>
        </w:rPr>
      </w:pPr>
      <w:r>
        <w:rPr>
          <w:color w:val="000000"/>
        </w:rPr>
        <w:t xml:space="preserve">El Caso 2, por el contrario, corresponde a la realización del acto de concentración omitiendo la autorización previa y que este acto no haya sido subsanado por el agente </w:t>
      </w:r>
      <w:r>
        <w:rPr>
          <w:color w:val="000000"/>
        </w:rPr>
        <w:lastRenderedPageBreak/>
        <w:t>económico a través de una presentación posterior ante la autoridad, sino que haya sido la autoridad quién detecte dicha omisión.</w:t>
      </w:r>
    </w:p>
    <w:p w:rsidR="002355F1" w:rsidRDefault="005A478B" w:rsidP="00D936C4">
      <w:pPr>
        <w:shd w:val="clear" w:color="auto" w:fill="FFFFFF"/>
        <w:spacing w:before="240" w:after="240" w:line="360" w:lineRule="auto"/>
        <w:jc w:val="both"/>
        <w:rPr>
          <w:color w:val="000000"/>
        </w:rPr>
      </w:pPr>
      <w:r>
        <w:rPr>
          <w:color w:val="000000"/>
        </w:rPr>
        <w:t xml:space="preserve">La interpretación busca dar integración de forma conjunta a ambos supuestos del artículo 6 de la Ley 26876 y así evitar colisiones o contradicciones </w:t>
      </w:r>
      <w:r w:rsidR="00197C5E">
        <w:rPr>
          <w:color w:val="000000"/>
        </w:rPr>
        <w:t>pues</w:t>
      </w:r>
      <w:r>
        <w:rPr>
          <w:color w:val="000000"/>
        </w:rPr>
        <w:t>, como señala Kelsen, en “una ciencia normativa no puede admitir la contradicción entre dos normas que pertenecen al mismo sistema” (Kelsen 2005: 126). Es así que, al dotarle de un sentido a la omisión de notificación dispuesta en cada párrafo, estas cobran sentido de forma independiente</w:t>
      </w:r>
      <w:r w:rsidR="00197C5E">
        <w:rPr>
          <w:color w:val="000000"/>
        </w:rPr>
        <w:t xml:space="preserve"> y se vinculan de forma directa a una consecuencia jurídica.</w:t>
      </w:r>
    </w:p>
    <w:p w:rsidR="002355F1" w:rsidRDefault="005A478B" w:rsidP="00D936C4">
      <w:pPr>
        <w:shd w:val="clear" w:color="auto" w:fill="FFFFFF"/>
        <w:spacing w:before="240" w:after="240" w:line="360" w:lineRule="auto"/>
        <w:jc w:val="both"/>
        <w:rPr>
          <w:color w:val="000000"/>
        </w:rPr>
      </w:pPr>
      <w:r>
        <w:rPr>
          <w:color w:val="000000"/>
        </w:rPr>
        <w:t>La mayor gravedad está indisolublemente unida al párrafo que lleva como consecuencia jurídica el 10% pues, observamos que los supuestos tratados en dicho párrafo son actos más complejos y que requieren un despliegue mayor de la potestad sancionadora de la autoridad, conforme al siguiente detalle:</w:t>
      </w:r>
    </w:p>
    <w:p w:rsidR="002355F1" w:rsidRDefault="005A478B" w:rsidP="00D936C4">
      <w:pPr>
        <w:numPr>
          <w:ilvl w:val="0"/>
          <w:numId w:val="6"/>
        </w:numPr>
        <w:shd w:val="clear" w:color="auto" w:fill="FFFFFF"/>
        <w:spacing w:before="240" w:line="360" w:lineRule="auto"/>
        <w:jc w:val="both"/>
        <w:rPr>
          <w:color w:val="000000"/>
        </w:rPr>
      </w:pPr>
      <w:r>
        <w:rPr>
          <w:color w:val="000000"/>
        </w:rPr>
        <w:t>Como ya ha sido expuesto, la realización del acto de concentración omitiendo la solicitud de autorización previa se encuentra en un plano en el cual fue la autoridad quién detectó dicho hecho. Es decir, no existió por parte del agente una intención de rectificación o reconocimiento de la infracción, sino que este, ya sea por desconocimiento de la norma o de forma deliberada, realizó el acto y rectificó dicha situación de manera previa a la acción de la autoridad.</w:t>
      </w:r>
    </w:p>
    <w:p w:rsidR="00197C5E" w:rsidRDefault="00197C5E" w:rsidP="00197C5E">
      <w:pPr>
        <w:shd w:val="clear" w:color="auto" w:fill="FFFFFF"/>
        <w:spacing w:before="240" w:line="360" w:lineRule="auto"/>
        <w:ind w:left="720"/>
        <w:jc w:val="both"/>
        <w:rPr>
          <w:color w:val="000000"/>
        </w:rPr>
      </w:pPr>
    </w:p>
    <w:p w:rsidR="002355F1" w:rsidRDefault="005A478B" w:rsidP="00D936C4">
      <w:pPr>
        <w:numPr>
          <w:ilvl w:val="0"/>
          <w:numId w:val="6"/>
        </w:numPr>
        <w:shd w:val="clear" w:color="auto" w:fill="FFFFFF"/>
        <w:spacing w:line="360" w:lineRule="auto"/>
        <w:jc w:val="both"/>
        <w:rPr>
          <w:color w:val="000000"/>
        </w:rPr>
      </w:pPr>
      <w:r>
        <w:rPr>
          <w:color w:val="000000"/>
        </w:rPr>
        <w:t xml:space="preserve">El segundo supuesto es la realización de la notificación, pero que se concrete el acto sin la autorización de la autoridad. Que el agente reconozca la competencia de la autoridad al trasladarle la notificación, pero aún así no espere a la obtención de la autorización implica una acción grave pues, así como conoce el agente la obligación de notificar la operación, conocía la obligación de suspender los actos que conlleven a la realización de la concentración hasta el pronunciamiento de la autoridad. Por ello esta infracción atiende a la esencia de la obligación de suspender la operación impuesta por el artículo 3 de la Ley 26876 y no espera, conforme a la primera interpretación, que sea sancionable solo si la operación resulte aprobada con </w:t>
      </w:r>
      <w:r>
        <w:rPr>
          <w:color w:val="000000"/>
        </w:rPr>
        <w:lastRenderedPageBreak/>
        <w:t xml:space="preserve">condiciones o denegada, sino que busca proteger, de manera directa y sin eximentes, la obligación de suspender. </w:t>
      </w:r>
    </w:p>
    <w:p w:rsidR="00197C5E" w:rsidRDefault="00197C5E" w:rsidP="00197C5E">
      <w:pPr>
        <w:shd w:val="clear" w:color="auto" w:fill="FFFFFF"/>
        <w:spacing w:line="360" w:lineRule="auto"/>
        <w:jc w:val="both"/>
        <w:rPr>
          <w:color w:val="000000"/>
        </w:rPr>
      </w:pPr>
    </w:p>
    <w:p w:rsidR="002355F1" w:rsidRDefault="005A478B" w:rsidP="00D936C4">
      <w:pPr>
        <w:numPr>
          <w:ilvl w:val="0"/>
          <w:numId w:val="6"/>
        </w:numPr>
        <w:shd w:val="clear" w:color="auto" w:fill="FFFFFF"/>
        <w:spacing w:line="360" w:lineRule="auto"/>
        <w:jc w:val="both"/>
        <w:rPr>
          <w:color w:val="000000"/>
        </w:rPr>
      </w:pPr>
      <w:r>
        <w:rPr>
          <w:color w:val="000000"/>
        </w:rPr>
        <w:t xml:space="preserve">La realización del acto declarado incompatible también, según esta interpretación, cobra independencia al ser la declaratoria de este acto como infracción una herramienta que asegure la fuerza de la Ley 26876. Si la norma no le atribuye una consecuencia al desconocimiento de sus pronunciamientos, finalmente, esta norma no tendría más que un efecto declaratoria sin mayor fuerza, y los particulares, independientemente del pronunciamiento en sentido negativo, contarían con los incentivos suficientes para realizar el acto. </w:t>
      </w:r>
    </w:p>
    <w:p w:rsidR="00197C5E" w:rsidRDefault="00197C5E" w:rsidP="00197C5E">
      <w:pPr>
        <w:shd w:val="clear" w:color="auto" w:fill="FFFFFF"/>
        <w:spacing w:line="360" w:lineRule="auto"/>
        <w:ind w:left="720"/>
        <w:jc w:val="both"/>
        <w:rPr>
          <w:color w:val="000000"/>
        </w:rPr>
      </w:pPr>
    </w:p>
    <w:p w:rsidR="002355F1" w:rsidRDefault="005A478B" w:rsidP="00D936C4">
      <w:pPr>
        <w:numPr>
          <w:ilvl w:val="0"/>
          <w:numId w:val="6"/>
        </w:numPr>
        <w:shd w:val="clear" w:color="auto" w:fill="FFFFFF"/>
        <w:spacing w:after="240" w:line="360" w:lineRule="auto"/>
        <w:jc w:val="both"/>
        <w:rPr>
          <w:color w:val="000000"/>
        </w:rPr>
      </w:pPr>
      <w:r>
        <w:rPr>
          <w:color w:val="000000"/>
        </w:rPr>
        <w:t xml:space="preserve">De la misma manera, si no se cumple con las condiciones impuestas a través de la autorización, el acto de autorización de la Ley 26876 carecería de medidas que aseguren su eficacia y permanencia en el tiempo. </w:t>
      </w:r>
    </w:p>
    <w:p w:rsidR="002355F1" w:rsidRDefault="005A478B" w:rsidP="00D936C4">
      <w:pPr>
        <w:shd w:val="clear" w:color="auto" w:fill="FFFFFF"/>
        <w:spacing w:before="240" w:after="240" w:line="360" w:lineRule="auto"/>
        <w:jc w:val="both"/>
        <w:rPr>
          <w:color w:val="000000"/>
        </w:rPr>
      </w:pPr>
      <w:r>
        <w:rPr>
          <w:color w:val="000000"/>
        </w:rPr>
        <w:t xml:space="preserve">Así entonces se dotaría de sentido a la tipificación del artículo 6 de la Ley 26876 sin caer en contradicciones y </w:t>
      </w:r>
      <w:r w:rsidR="00197C5E">
        <w:rPr>
          <w:color w:val="000000"/>
        </w:rPr>
        <w:t xml:space="preserve">se evitan </w:t>
      </w:r>
      <w:r>
        <w:rPr>
          <w:color w:val="000000"/>
        </w:rPr>
        <w:t>afectaciones a supuestos de hecho claros. Sin perjuicio que ha sido ensayado esta interpretación que logra darle congruencia al tipo, es preciso recalcar q</w:t>
      </w:r>
      <w:r>
        <w:t>ue</w:t>
      </w:r>
      <w:r>
        <w:rPr>
          <w:color w:val="000000"/>
        </w:rPr>
        <w:t xml:space="preserve"> la tipificación realizada por Indecopi carece de claridad y </w:t>
      </w:r>
      <w:r w:rsidR="00197C5E">
        <w:rPr>
          <w:color w:val="000000"/>
        </w:rPr>
        <w:t>abre la puerta a cuestionamientos sobre</w:t>
      </w:r>
      <w:r>
        <w:t xml:space="preserve"> la tipicidad de las infracciones en </w:t>
      </w:r>
      <w:r>
        <w:rPr>
          <w:color w:val="000000"/>
        </w:rPr>
        <w:t xml:space="preserve">los procedimientos administrativos sancionadores que </w:t>
      </w:r>
      <w:r>
        <w:t>son observados por la autoridad de competencia</w:t>
      </w:r>
      <w:r>
        <w:rPr>
          <w:color w:val="000000"/>
        </w:rPr>
        <w:t xml:space="preserve">. Esta falta de claridad impide que el administrado conozca los supuestos que gatillan responsabilidad </w:t>
      </w:r>
      <w:r>
        <w:t>y</w:t>
      </w:r>
      <w:r>
        <w:rPr>
          <w:color w:val="000000"/>
        </w:rPr>
        <w:t xml:space="preserve"> tomen precauciones respecto a ellos. </w:t>
      </w:r>
    </w:p>
    <w:p w:rsidR="002355F1" w:rsidRPr="00A60E08" w:rsidRDefault="005A478B" w:rsidP="00D936C4">
      <w:pPr>
        <w:pStyle w:val="Ttulo2"/>
        <w:numPr>
          <w:ilvl w:val="1"/>
          <w:numId w:val="3"/>
        </w:numPr>
        <w:spacing w:line="360" w:lineRule="auto"/>
        <w:rPr>
          <w:i/>
          <w:color w:val="000000"/>
          <w:sz w:val="24"/>
          <w:szCs w:val="24"/>
        </w:rPr>
      </w:pPr>
      <w:bookmarkStart w:id="28" w:name="_Toc47387735"/>
      <w:r>
        <w:rPr>
          <w:color w:val="000000"/>
          <w:sz w:val="24"/>
          <w:szCs w:val="24"/>
        </w:rPr>
        <w:t xml:space="preserve">Sobre la concentración sin autorización y otros casos de </w:t>
      </w:r>
      <w:r>
        <w:rPr>
          <w:i/>
          <w:color w:val="000000"/>
          <w:sz w:val="24"/>
          <w:szCs w:val="24"/>
        </w:rPr>
        <w:t>gun jumping</w:t>
      </w:r>
      <w:bookmarkEnd w:id="28"/>
    </w:p>
    <w:p w:rsidR="002355F1" w:rsidRDefault="005A478B" w:rsidP="00D936C4">
      <w:pPr>
        <w:spacing w:line="360" w:lineRule="auto"/>
        <w:jc w:val="both"/>
        <w:rPr>
          <w:i/>
          <w:color w:val="000000"/>
        </w:rPr>
      </w:pPr>
      <w:r>
        <w:rPr>
          <w:color w:val="000000"/>
        </w:rPr>
        <w:t xml:space="preserve">Estando en evidencia las deficiencias del procedimiento sancionador y sin perjuicio de reiterar la posición que, bajo un enfoque más garantista de los derechos del administrado, el procedimiento presentaba vicios </w:t>
      </w:r>
      <w:r w:rsidR="005C03FC">
        <w:rPr>
          <w:color w:val="000000"/>
        </w:rPr>
        <w:t>que</w:t>
      </w:r>
      <w:r>
        <w:rPr>
          <w:color w:val="000000"/>
        </w:rPr>
        <w:t xml:space="preserve"> deberían haber llevado, indefectiblemente, a la nulidad del mismo, e</w:t>
      </w:r>
      <w:r w:rsidR="006B0215">
        <w:rPr>
          <w:color w:val="000000"/>
        </w:rPr>
        <w:t>s</w:t>
      </w:r>
      <w:r>
        <w:rPr>
          <w:color w:val="000000"/>
        </w:rPr>
        <w:t xml:space="preserve"> propósito de la</w:t>
      </w:r>
      <w:r w:rsidR="005C03FC">
        <w:rPr>
          <w:color w:val="000000"/>
        </w:rPr>
        <w:t xml:space="preserve"> presente secc</w:t>
      </w:r>
      <w:r w:rsidR="006B0215">
        <w:rPr>
          <w:color w:val="000000"/>
        </w:rPr>
        <w:t>i</w:t>
      </w:r>
      <w:r w:rsidR="005C03FC">
        <w:rPr>
          <w:color w:val="000000"/>
        </w:rPr>
        <w:t>ón</w:t>
      </w:r>
      <w:r>
        <w:rPr>
          <w:color w:val="000000"/>
        </w:rPr>
        <w:t xml:space="preserve"> analizar </w:t>
      </w:r>
      <w:r w:rsidR="005C03FC">
        <w:rPr>
          <w:color w:val="000000"/>
        </w:rPr>
        <w:t xml:space="preserve">el fondo de la controversia o </w:t>
      </w:r>
      <w:r>
        <w:rPr>
          <w:color w:val="000000"/>
        </w:rPr>
        <w:t>la infracción materia de procedimiento</w:t>
      </w:r>
      <w:r w:rsidR="006B0215">
        <w:rPr>
          <w:color w:val="000000"/>
        </w:rPr>
        <w:t xml:space="preserve">. En lo esencial, la materia que va a suscitar la discusión en este acápite es </w:t>
      </w:r>
      <w:r>
        <w:rPr>
          <w:color w:val="000000"/>
        </w:rPr>
        <w:t>el riesgo de adelantarse a la autoridad de competencia</w:t>
      </w:r>
      <w:r w:rsidR="006B0215">
        <w:rPr>
          <w:color w:val="000000"/>
        </w:rPr>
        <w:t xml:space="preserve">, </w:t>
      </w:r>
      <w:r>
        <w:rPr>
          <w:color w:val="000000"/>
        </w:rPr>
        <w:t xml:space="preserve">la concentración sin autorización o, como es conocido en sistemas comparados, </w:t>
      </w:r>
      <w:r>
        <w:rPr>
          <w:i/>
          <w:color w:val="000000"/>
        </w:rPr>
        <w:t xml:space="preserve">gun jumping. </w:t>
      </w:r>
    </w:p>
    <w:p w:rsidR="002355F1" w:rsidRDefault="002355F1" w:rsidP="00D936C4">
      <w:pPr>
        <w:spacing w:line="360" w:lineRule="auto"/>
        <w:jc w:val="both"/>
        <w:rPr>
          <w:i/>
          <w:color w:val="000000"/>
        </w:rPr>
      </w:pPr>
    </w:p>
    <w:p w:rsidR="002355F1" w:rsidRDefault="005A478B" w:rsidP="00D936C4">
      <w:pPr>
        <w:spacing w:line="360" w:lineRule="auto"/>
        <w:jc w:val="both"/>
        <w:rPr>
          <w:color w:val="000000"/>
        </w:rPr>
      </w:pPr>
      <w:r>
        <w:rPr>
          <w:color w:val="000000"/>
        </w:rPr>
        <w:t>El caso particular nos presenta a</w:t>
      </w:r>
      <w:r w:rsidR="00E11D67">
        <w:rPr>
          <w:color w:val="000000"/>
        </w:rPr>
        <w:t>l agente económico</w:t>
      </w:r>
      <w:r>
        <w:rPr>
          <w:color w:val="000000"/>
        </w:rPr>
        <w:t xml:space="preserve"> Enel que manejó la operación de adquisición de acciones tanto en Europa como en Perú y notificó dicha operación a las autoridades de competencia de la Comunidad Europea, España y Perú. Una vez obtenida la autorización en España y Comunidad Europea, Enel procedió a cerrar la operación de concentración para adquirir el control exclusivo de Endesa;</w:t>
      </w:r>
      <w:r w:rsidR="0067199E">
        <w:rPr>
          <w:color w:val="000000"/>
        </w:rPr>
        <w:t xml:space="preserve"> </w:t>
      </w:r>
      <w:r>
        <w:rPr>
          <w:color w:val="000000"/>
        </w:rPr>
        <w:t xml:space="preserve">sin embargo, Endesa, a través de las empresas del sector eléctrico peruano declaró la decisión de implementar una medida de suspensión de los efectos de la operación </w:t>
      </w:r>
      <w:r w:rsidR="0067199E">
        <w:rPr>
          <w:color w:val="000000"/>
        </w:rPr>
        <w:t>en atenta espera al</w:t>
      </w:r>
      <w:r>
        <w:rPr>
          <w:color w:val="000000"/>
        </w:rPr>
        <w:t xml:space="preserve"> pronunciamiento de la autoridad peruana. </w:t>
      </w:r>
      <w:r w:rsidR="00B93DB8">
        <w:rPr>
          <w:color w:val="000000"/>
        </w:rPr>
        <w:t>En</w:t>
      </w:r>
      <w:r w:rsidR="0067199E">
        <w:rPr>
          <w:color w:val="000000"/>
        </w:rPr>
        <w:t xml:space="preserve"> lo que se refiere a la medida de suspensión</w:t>
      </w:r>
      <w:r>
        <w:rPr>
          <w:color w:val="000000"/>
        </w:rPr>
        <w:t>, la</w:t>
      </w:r>
      <w:r w:rsidR="0067199E">
        <w:rPr>
          <w:color w:val="000000"/>
        </w:rPr>
        <w:t xml:space="preserve"> </w:t>
      </w:r>
      <w:r>
        <w:rPr>
          <w:color w:val="000000"/>
        </w:rPr>
        <w:t>autoridad de competencia considerar</w:t>
      </w:r>
      <w:r w:rsidR="0067199E">
        <w:rPr>
          <w:color w:val="000000"/>
        </w:rPr>
        <w:t>ó</w:t>
      </w:r>
      <w:r>
        <w:rPr>
          <w:color w:val="000000"/>
        </w:rPr>
        <w:t xml:space="preserve"> que la propuesta no era ni apropiada, en primera instancia, ni suficiente, </w:t>
      </w:r>
      <w:r w:rsidR="0067199E">
        <w:rPr>
          <w:color w:val="000000"/>
        </w:rPr>
        <w:t>en</w:t>
      </w:r>
      <w:r>
        <w:rPr>
          <w:color w:val="000000"/>
        </w:rPr>
        <w:t xml:space="preserve"> segunda instancia, y </w:t>
      </w:r>
      <w:r w:rsidR="0067199E">
        <w:rPr>
          <w:color w:val="000000"/>
        </w:rPr>
        <w:t>concluyó que</w:t>
      </w:r>
      <w:r>
        <w:rPr>
          <w:color w:val="000000"/>
        </w:rPr>
        <w:t xml:space="preserve"> una vez realizado el acto de concentración, </w:t>
      </w:r>
      <w:r w:rsidR="0067199E">
        <w:rPr>
          <w:color w:val="000000"/>
        </w:rPr>
        <w:t>era irremediable que el despliegue de los</w:t>
      </w:r>
      <w:r>
        <w:rPr>
          <w:color w:val="000000"/>
        </w:rPr>
        <w:t xml:space="preserve"> efectos en las operaciones de los agentes involucrados en Perú</w:t>
      </w:r>
      <w:r w:rsidR="0067199E">
        <w:rPr>
          <w:color w:val="000000"/>
        </w:rPr>
        <w:t xml:space="preserve">. </w:t>
      </w:r>
      <w:r w:rsidR="000107B6">
        <w:rPr>
          <w:color w:val="000000"/>
        </w:rPr>
        <w:t>Como consecuencia d</w:t>
      </w:r>
      <w:r>
        <w:rPr>
          <w:color w:val="000000"/>
        </w:rPr>
        <w:t>el acto de concentración notificad</w:t>
      </w:r>
      <w:r w:rsidR="000107B6">
        <w:rPr>
          <w:color w:val="000000"/>
        </w:rPr>
        <w:t>o, pero cerrado anticipadamente, se determinó</w:t>
      </w:r>
      <w:r>
        <w:rPr>
          <w:color w:val="000000"/>
        </w:rPr>
        <w:t xml:space="preserve"> la imposición de una multa.</w:t>
      </w:r>
    </w:p>
    <w:p w:rsidR="002355F1" w:rsidRDefault="002355F1" w:rsidP="00D936C4">
      <w:pPr>
        <w:spacing w:line="360" w:lineRule="auto"/>
        <w:jc w:val="both"/>
        <w:rPr>
          <w:color w:val="000000"/>
        </w:rPr>
      </w:pPr>
    </w:p>
    <w:p w:rsidR="00EB7A07" w:rsidRDefault="00EB7A07" w:rsidP="00D936C4">
      <w:pPr>
        <w:spacing w:line="360" w:lineRule="auto"/>
        <w:jc w:val="both"/>
        <w:rPr>
          <w:color w:val="000000"/>
        </w:rPr>
      </w:pPr>
      <w:r>
        <w:rPr>
          <w:color w:val="000000"/>
        </w:rPr>
        <w:t>El</w:t>
      </w:r>
      <w:r w:rsidR="005A478B">
        <w:rPr>
          <w:color w:val="000000"/>
        </w:rPr>
        <w:t xml:space="preserve"> caso Enel </w:t>
      </w:r>
      <w:r>
        <w:rPr>
          <w:color w:val="000000"/>
        </w:rPr>
        <w:t>presenta</w:t>
      </w:r>
      <w:r w:rsidR="005A478B">
        <w:rPr>
          <w:color w:val="000000"/>
        </w:rPr>
        <w:t xml:space="preserve"> varias aristas en materia de la infracción de concentración sin autorización pues, </w:t>
      </w:r>
      <w:r>
        <w:rPr>
          <w:color w:val="000000"/>
        </w:rPr>
        <w:t>vemos el pase de</w:t>
      </w:r>
      <w:r w:rsidR="005A478B">
        <w:rPr>
          <w:color w:val="000000"/>
        </w:rPr>
        <w:t xml:space="preserve"> una autoridad que, </w:t>
      </w:r>
      <w:r w:rsidR="005A478B">
        <w:t>acotada</w:t>
      </w:r>
      <w:r w:rsidR="005A478B">
        <w:rPr>
          <w:color w:val="000000"/>
        </w:rPr>
        <w:t xml:space="preserve"> a la literalidad de la norma, no contempla otorgar posibilidad de presentar dispensas, </w:t>
      </w:r>
      <w:r>
        <w:rPr>
          <w:color w:val="000000"/>
        </w:rPr>
        <w:t xml:space="preserve">a una </w:t>
      </w:r>
      <w:r w:rsidR="005A478B">
        <w:rPr>
          <w:color w:val="000000"/>
        </w:rPr>
        <w:t xml:space="preserve">segunda instancia </w:t>
      </w:r>
      <w:r>
        <w:rPr>
          <w:color w:val="000000"/>
        </w:rPr>
        <w:t xml:space="preserve">que </w:t>
      </w:r>
      <w:r w:rsidR="005A478B">
        <w:rPr>
          <w:color w:val="000000"/>
        </w:rPr>
        <w:t>reconoce dicha medida, pero considera la propuesta como insuficiente para suspender los efectos</w:t>
      </w:r>
      <w:r>
        <w:rPr>
          <w:color w:val="000000"/>
        </w:rPr>
        <w:t xml:space="preserve">. La segunda instancia, entonces, termina abriendo una </w:t>
      </w:r>
      <w:r w:rsidR="005A478B">
        <w:rPr>
          <w:color w:val="000000"/>
        </w:rPr>
        <w:t xml:space="preserve">posibilidad para que los administrados puedan interpretar que, más allá de la literalidad de la norma, la autoridad puede analizar las medidas propuestas como dispensa. </w:t>
      </w:r>
    </w:p>
    <w:p w:rsidR="00EB7A07" w:rsidRDefault="00EB7A07"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Del análisis de la propuesta de dispensa o suspensión de los efectos, </w:t>
      </w:r>
      <w:r w:rsidR="00EB7A07">
        <w:rPr>
          <w:color w:val="000000"/>
        </w:rPr>
        <w:t>es observable las deficiencias en su evaluación y si este análisis fuese</w:t>
      </w:r>
      <w:r>
        <w:rPr>
          <w:color w:val="000000"/>
        </w:rPr>
        <w:t xml:space="preserve"> replicado al día de hoy, </w:t>
      </w:r>
      <w:r w:rsidR="00EB7A07">
        <w:rPr>
          <w:color w:val="000000"/>
        </w:rPr>
        <w:t>sería objeto de cuestionamiento por una presunta v</w:t>
      </w:r>
      <w:r>
        <w:rPr>
          <w:color w:val="000000"/>
        </w:rPr>
        <w:t>ulneración a la debida motivación</w:t>
      </w:r>
      <w:r w:rsidR="00EB7A07">
        <w:rPr>
          <w:color w:val="000000"/>
        </w:rPr>
        <w:t xml:space="preserve">. </w:t>
      </w:r>
      <w:r w:rsidR="00BD089A">
        <w:rPr>
          <w:color w:val="000000"/>
        </w:rPr>
        <w:t>E</w:t>
      </w:r>
      <w:r>
        <w:rPr>
          <w:color w:val="000000"/>
        </w:rPr>
        <w:t>l pronunciamiento de la autoridad</w:t>
      </w:r>
      <w:r w:rsidR="00BD089A">
        <w:rPr>
          <w:color w:val="000000"/>
        </w:rPr>
        <w:t xml:space="preserve"> de competencia</w:t>
      </w:r>
      <w:r>
        <w:rPr>
          <w:color w:val="000000"/>
        </w:rPr>
        <w:t xml:space="preserve"> se centr</w:t>
      </w:r>
      <w:r w:rsidR="00EB7A07">
        <w:rPr>
          <w:color w:val="000000"/>
        </w:rPr>
        <w:t xml:space="preserve">ó </w:t>
      </w:r>
      <w:r>
        <w:rPr>
          <w:color w:val="000000"/>
        </w:rPr>
        <w:t xml:space="preserve">en aseverar que el hecho se realizó, sin </w:t>
      </w:r>
      <w:r w:rsidR="00BD089A">
        <w:rPr>
          <w:color w:val="000000"/>
        </w:rPr>
        <w:t>desplegar un mayor desarrollo sobre como</w:t>
      </w:r>
      <w:r>
        <w:rPr>
          <w:color w:val="000000"/>
        </w:rPr>
        <w:t xml:space="preserve"> se concretó la transferencia de control que justifique la afirmación de que el perfeccionamiento está realizado.</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lastRenderedPageBreak/>
        <w:t xml:space="preserve">Si bien </w:t>
      </w:r>
      <w:r w:rsidR="00BD089A">
        <w:rPr>
          <w:color w:val="000000"/>
        </w:rPr>
        <w:t xml:space="preserve">es cierto que </w:t>
      </w:r>
      <w:r>
        <w:rPr>
          <w:color w:val="000000"/>
        </w:rPr>
        <w:t xml:space="preserve">coincido con el sentido de las Resoluciones sancionadoras pues, </w:t>
      </w:r>
      <w:r w:rsidR="00BD089A">
        <w:rPr>
          <w:color w:val="000000"/>
        </w:rPr>
        <w:t>de una evaluación de la medida de dispensa con especial atención a la formalidad y la oportunidad de la misma</w:t>
      </w:r>
      <w:r>
        <w:rPr>
          <w:color w:val="000000"/>
        </w:rPr>
        <w:t xml:space="preserve">, es posible observar que el acto realizado en España sí tuvo efectos en Perú y </w:t>
      </w:r>
      <w:r w:rsidR="00BD089A">
        <w:rPr>
          <w:color w:val="000000"/>
        </w:rPr>
        <w:t>sí</w:t>
      </w:r>
      <w:r>
        <w:rPr>
          <w:color w:val="000000"/>
        </w:rPr>
        <w:t xml:space="preserve"> pudo afectar la estructura de control de los agentes presentes en el sector eléctrico, una adecuada motivación de l</w:t>
      </w:r>
      <w:r w:rsidR="00BD089A">
        <w:rPr>
          <w:color w:val="000000"/>
        </w:rPr>
        <w:t>os pronunciamientos</w:t>
      </w:r>
      <w:r>
        <w:rPr>
          <w:color w:val="000000"/>
        </w:rPr>
        <w:t xml:space="preserve"> habría requerido los siguientes puntos: 1) análisis por parte de la autoridad de competencia de cómo el acto cuestionado tuvo efectos inmediatos en Perú e implicó la configuración de una concentración sin autorización y 2) determinar si es posible que</w:t>
      </w:r>
      <w:r w:rsidR="006A2676">
        <w:rPr>
          <w:color w:val="000000"/>
        </w:rPr>
        <w:t>,</w:t>
      </w:r>
      <w:r>
        <w:rPr>
          <w:color w:val="000000"/>
        </w:rPr>
        <w:t xml:space="preserve"> por la autonomía de las partes</w:t>
      </w:r>
      <w:r w:rsidR="006A2676">
        <w:rPr>
          <w:color w:val="000000"/>
        </w:rPr>
        <w:t>,</w:t>
      </w:r>
      <w:r>
        <w:rPr>
          <w:color w:val="000000"/>
        </w:rPr>
        <w:t xml:space="preserve"> se sujete la eficacia de determinados actos de forma que se logre una implementación parcial de una operación de concentración y, en base a eso, analizar la propuesta de suspensión de efectos de las empresas del sector eléctrico peruano en el caso Enel.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Considerando ello, es necesario abarcar en esta sección la figura del control de estructuras</w:t>
      </w:r>
      <w:r w:rsidR="000A7F18">
        <w:rPr>
          <w:color w:val="000000"/>
        </w:rPr>
        <w:t xml:space="preserve">, </w:t>
      </w:r>
      <w:r>
        <w:rPr>
          <w:color w:val="000000"/>
        </w:rPr>
        <w:t xml:space="preserve">su implementación en el sector eléctrico así como los objetivos perseguidos con dicha implementación y como dicho control, parte de la política de competencia, requiere de dos herramientas para hacer cumplir sus objetivos como son la obligación de notificación y la obligación de suspensión de la operación.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Una vez comprendida la obligación de suspensión, el siguiente paso es comprender cómo elevar a infracción el incumplimiento de dicha la obligación, tiene como objetivo garantizar que todas las operaciones sometidas a control, reconozcan la autoridad de Indecopi y no realicen actos que conlleven a un cambio en la estructura de control sin obtener la autorización.</w:t>
      </w:r>
    </w:p>
    <w:p w:rsidR="002355F1" w:rsidRDefault="002355F1" w:rsidP="00D936C4">
      <w:pPr>
        <w:spacing w:line="360" w:lineRule="auto"/>
        <w:jc w:val="both"/>
        <w:rPr>
          <w:color w:val="000000"/>
        </w:rPr>
      </w:pPr>
    </w:p>
    <w:p w:rsidR="002355F1" w:rsidRDefault="006A2676" w:rsidP="00D936C4">
      <w:pPr>
        <w:spacing w:line="360" w:lineRule="auto"/>
        <w:jc w:val="both"/>
        <w:rPr>
          <w:color w:val="000000"/>
        </w:rPr>
      </w:pPr>
      <w:r>
        <w:rPr>
          <w:color w:val="000000"/>
        </w:rPr>
        <w:t>Por último</w:t>
      </w:r>
      <w:r w:rsidR="005A478B">
        <w:rPr>
          <w:color w:val="000000"/>
        </w:rPr>
        <w:t xml:space="preserve">, identificado el propósito de considerar como infracción la concentración sin autorización, mediante una presentación del tema a nivel comparado, se identificarán elementos que permitan una interpretación más flexible del fenómeno del </w:t>
      </w:r>
      <w:r w:rsidR="005A478B">
        <w:rPr>
          <w:i/>
          <w:color w:val="000000"/>
        </w:rPr>
        <w:t>gun jumping</w:t>
      </w:r>
      <w:r w:rsidR="005A478B">
        <w:rPr>
          <w:color w:val="000000"/>
        </w:rPr>
        <w:t xml:space="preserve"> o adelantarse a la autoridad, sin que esta acción desnaturalice la protección al régimen del control de concentraciones. </w:t>
      </w:r>
    </w:p>
    <w:p w:rsidR="002355F1" w:rsidRDefault="005A478B" w:rsidP="00123ED2">
      <w:pPr>
        <w:pStyle w:val="Ttulo3"/>
        <w:numPr>
          <w:ilvl w:val="2"/>
          <w:numId w:val="3"/>
        </w:numPr>
        <w:spacing w:line="360" w:lineRule="auto"/>
        <w:rPr>
          <w:color w:val="000000"/>
          <w:sz w:val="24"/>
          <w:szCs w:val="24"/>
        </w:rPr>
      </w:pPr>
      <w:bookmarkStart w:id="29" w:name="_Toc47387736"/>
      <w:r>
        <w:rPr>
          <w:color w:val="000000"/>
          <w:sz w:val="24"/>
          <w:szCs w:val="24"/>
        </w:rPr>
        <w:lastRenderedPageBreak/>
        <w:t>¿Qué es el control de estructuras?</w:t>
      </w:r>
      <w:bookmarkEnd w:id="29"/>
    </w:p>
    <w:p w:rsidR="002355F1" w:rsidRDefault="005A478B" w:rsidP="00D936C4">
      <w:pPr>
        <w:pBdr>
          <w:top w:val="nil"/>
          <w:left w:val="nil"/>
          <w:bottom w:val="nil"/>
          <w:right w:val="nil"/>
          <w:between w:val="nil"/>
        </w:pBdr>
        <w:spacing w:line="360" w:lineRule="auto"/>
        <w:jc w:val="both"/>
        <w:rPr>
          <w:color w:val="000000"/>
        </w:rPr>
      </w:pPr>
      <w:r>
        <w:rPr>
          <w:color w:val="000000"/>
        </w:rPr>
        <w:t xml:space="preserve">En un mercado perfectamente competitivo, tanto los vendedores como los compradores son precio-aceptantes, ello pues las decisiones de consumo de los agentes, ya sean vendedores o compradores, afectan el precio de mercado del bien (Krugman 2008: 187). </w:t>
      </w:r>
      <w:r w:rsidR="008B096B">
        <w:rPr>
          <w:color w:val="000000"/>
        </w:rPr>
        <w:t>Pero</w:t>
      </w:r>
      <w:r>
        <w:rPr>
          <w:color w:val="000000"/>
        </w:rPr>
        <w:t xml:space="preserve"> los mercados no funcionan en competencia perfecta, pues las condiciones de un mercado perfecto como es la concurrencia de productos homogéneos, gran número de vendedores y compradores, información perfecta y ausencia de barreras importantes de acceso al mercado no son observables en el mercado real. Ya sea por diversas circunstancias como la diferencia en los bienes ofertados en términos de calidad o precio; la información tiende a ser asimétrica o por las barreras existentes en el mercado, sí es posible aseverar que existen agentes en el mercado capaces de fijar las condiciones de venta de forma unilateral o conjunta, sin que el elemento competencia determine su comportamiento. Esto nos permite identificar a agentes que cuentan con posición en el mercado de poder la cual neutraliza o supera la posibilidad de competencia (Quintana 2013: 14-15).</w:t>
      </w:r>
    </w:p>
    <w:p w:rsidR="002355F1" w:rsidRDefault="002355F1" w:rsidP="00D936C4">
      <w:pPr>
        <w:pBdr>
          <w:top w:val="nil"/>
          <w:left w:val="nil"/>
          <w:bottom w:val="nil"/>
          <w:right w:val="nil"/>
          <w:between w:val="nil"/>
        </w:pBdr>
        <w:spacing w:line="360" w:lineRule="auto"/>
        <w:jc w:val="both"/>
        <w:rPr>
          <w:color w:val="000000"/>
        </w:rPr>
      </w:pPr>
    </w:p>
    <w:p w:rsidR="002355F1" w:rsidRDefault="005A478B" w:rsidP="00D936C4">
      <w:pPr>
        <w:pBdr>
          <w:top w:val="nil"/>
          <w:left w:val="nil"/>
          <w:bottom w:val="nil"/>
          <w:right w:val="nil"/>
          <w:between w:val="nil"/>
        </w:pBdr>
        <w:spacing w:line="360" w:lineRule="auto"/>
        <w:jc w:val="both"/>
        <w:rPr>
          <w:color w:val="000000"/>
        </w:rPr>
      </w:pPr>
      <w:r>
        <w:rPr>
          <w:color w:val="000000"/>
        </w:rPr>
        <w:t xml:space="preserve">Las políticas de competencia, considerando la imposibilidad de presenciar un mercado perfecto, buscan garantizar que la competencia en el mercado no esté restringida de una manera que sea perjudicial al proceso competitivo de asignación de bienes y servicios por precios, y finalmente, esta distorsión afecte al consumidor. Las distorsiones observables en el mercado realizadas por los agentes económicos para aumentar sus ganancias se encuentran representadas en prácticas colusorias verticales y horizontales, abuso de posición de dominio y operaciones de concentración con efectos dañinos en la competencia. </w:t>
      </w:r>
    </w:p>
    <w:p w:rsidR="002355F1" w:rsidRDefault="002355F1" w:rsidP="00D936C4">
      <w:pPr>
        <w:pBdr>
          <w:top w:val="nil"/>
          <w:left w:val="nil"/>
          <w:bottom w:val="nil"/>
          <w:right w:val="nil"/>
          <w:between w:val="nil"/>
        </w:pBdr>
        <w:spacing w:line="360" w:lineRule="auto"/>
        <w:jc w:val="both"/>
        <w:rPr>
          <w:color w:val="000000"/>
        </w:rPr>
      </w:pPr>
    </w:p>
    <w:p w:rsidR="002355F1" w:rsidRDefault="005A478B" w:rsidP="00D936C4">
      <w:pPr>
        <w:pBdr>
          <w:top w:val="nil"/>
          <w:left w:val="nil"/>
          <w:bottom w:val="nil"/>
          <w:right w:val="nil"/>
          <w:between w:val="nil"/>
        </w:pBdr>
        <w:spacing w:line="360" w:lineRule="auto"/>
        <w:jc w:val="both"/>
        <w:rPr>
          <w:color w:val="000000"/>
        </w:rPr>
      </w:pPr>
      <w:r>
        <w:rPr>
          <w:color w:val="000000"/>
        </w:rPr>
        <w:t>Ahora bien, respecto a estas distorsiones, la política de competencia ha promovido la adopción de controles que, sea de manera ex</w:t>
      </w:r>
      <w:r w:rsidR="00501A01">
        <w:rPr>
          <w:color w:val="000000"/>
        </w:rPr>
        <w:t xml:space="preserve"> </w:t>
      </w:r>
      <w:r>
        <w:rPr>
          <w:color w:val="000000"/>
        </w:rPr>
        <w:t>ante o ex</w:t>
      </w:r>
      <w:r w:rsidR="00501A01">
        <w:rPr>
          <w:color w:val="000000"/>
        </w:rPr>
        <w:t xml:space="preserve"> </w:t>
      </w:r>
      <w:r>
        <w:rPr>
          <w:color w:val="000000"/>
        </w:rPr>
        <w:t>post</w:t>
      </w:r>
      <w:r w:rsidR="00501A01">
        <w:rPr>
          <w:color w:val="000000"/>
        </w:rPr>
        <w:t>,</w:t>
      </w:r>
      <w:r>
        <w:rPr>
          <w:color w:val="000000"/>
        </w:rPr>
        <w:t xml:space="preserve"> puedan hacer frente a los problemas y se alcance, en la medida de lo posible, una mayor transparencia en los mercados y en las interacciones entre vendedores y compradores. Como parte de la política, entonces, se encuentra el control de conductas, abocado a identificar si el poder de mercado ha sido obtenido a través de conductas prohibidas por el ordenamiento, que se consideran restringen inválidamente la competencia en perjuicio del consumidor y del proceso competitivo como los cárteles, restricciones verticales y abuso de posición de dominio. </w:t>
      </w:r>
    </w:p>
    <w:p w:rsidR="002355F1" w:rsidRDefault="002355F1" w:rsidP="00D936C4">
      <w:pPr>
        <w:pBdr>
          <w:top w:val="nil"/>
          <w:left w:val="nil"/>
          <w:bottom w:val="nil"/>
          <w:right w:val="nil"/>
          <w:between w:val="nil"/>
        </w:pBdr>
        <w:spacing w:line="360" w:lineRule="auto"/>
        <w:jc w:val="both"/>
        <w:rPr>
          <w:color w:val="000000"/>
        </w:rPr>
      </w:pPr>
    </w:p>
    <w:p w:rsidR="002355F1" w:rsidRDefault="005A478B" w:rsidP="00D936C4">
      <w:pPr>
        <w:pBdr>
          <w:top w:val="nil"/>
          <w:left w:val="nil"/>
          <w:bottom w:val="nil"/>
          <w:right w:val="nil"/>
          <w:between w:val="nil"/>
        </w:pBdr>
        <w:spacing w:line="360" w:lineRule="auto"/>
        <w:jc w:val="both"/>
        <w:rPr>
          <w:color w:val="000000"/>
        </w:rPr>
      </w:pPr>
      <w:r>
        <w:rPr>
          <w:color w:val="000000"/>
        </w:rPr>
        <w:t>Por otro lado, el control de estructuras o también conocido como control de concentraciones es un instrumento de la política de competencia que se materializa en un procedimiento de evaluación previa por parte de la autoridad de competencia de las operaciones de concentración de los agentes del mercado (Zuñiga 2018: 221). En este procedimiento, la autoridad de competencia deberá evaluar los efectos de la propuesta trasladada por los privados y determinar si los cambios en la estructura del mercado impactarán de forma negativa en la competencia.</w:t>
      </w:r>
    </w:p>
    <w:p w:rsidR="002355F1" w:rsidRDefault="002355F1" w:rsidP="00D936C4">
      <w:pPr>
        <w:pBdr>
          <w:top w:val="nil"/>
          <w:left w:val="nil"/>
          <w:bottom w:val="nil"/>
          <w:right w:val="nil"/>
          <w:between w:val="nil"/>
        </w:pBdr>
        <w:spacing w:line="360" w:lineRule="auto"/>
        <w:jc w:val="both"/>
        <w:rPr>
          <w:color w:val="000000"/>
        </w:rPr>
      </w:pPr>
    </w:p>
    <w:p w:rsidR="002355F1" w:rsidRDefault="005A478B" w:rsidP="00D936C4">
      <w:pPr>
        <w:spacing w:line="360" w:lineRule="auto"/>
        <w:jc w:val="both"/>
        <w:rPr>
          <w:color w:val="000000"/>
        </w:rPr>
      </w:pPr>
      <w:r>
        <w:rPr>
          <w:color w:val="000000"/>
        </w:rPr>
        <w:t xml:space="preserve">El control de estructuras no siempre ha sido identificado como parte de la política de competencia, siendo que este fue adoptado con posterioridad al control de conductas. El propósito de una norma de control de concentraciones suele ser cuestionado desde sus orígenes, considerando que en un primer momento lo único que se encontraba bajo el control de la autoridad de competencia era la investigación y sanción de una conducta anticompetitiva. Así, la primera norma de competencia Sherman Act de 1890 declaró ilegal la existencia de cárteles conocidos como la asociación de agentes económicos participantes en determinado mercado que, a través de acuerdos de no competencia, buscaban obtener beneficios al margen del daño al mercado.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A pesar de este primer propósito, las autoridades de competencia detectaron que las empresas, con el propósito de evadir la norma que sancionaba la colusión de agentes económicos distintos, procedían a la creación de nuevas entidades donde puedan convenir los intereses de los agentes y hacer uso de su poder de mercado sin caer en el supuesto de una conducta anticompetitiva realizada entre varios agentes. Identificad</w:t>
      </w:r>
      <w:r w:rsidR="007B1E44">
        <w:rPr>
          <w:color w:val="000000"/>
        </w:rPr>
        <w:t>a</w:t>
      </w:r>
      <w:r>
        <w:rPr>
          <w:color w:val="000000"/>
        </w:rPr>
        <w:t xml:space="preserve"> esta afectación a la competencia, fue propuesta y adoptada </w:t>
      </w:r>
      <w:r w:rsidRPr="007B1E44">
        <w:rPr>
          <w:i/>
          <w:color w:val="000000"/>
        </w:rPr>
        <w:t>Clayton Antitrust Act</w:t>
      </w:r>
      <w:r>
        <w:rPr>
          <w:color w:val="000000"/>
        </w:rPr>
        <w:t xml:space="preserve"> en 1914, mediante la cual se prohibió las fusiones y adquisiciones que pudieran disminuir sustancialmente la competencia, siendo este el primer antecedente de la existencia de un sistema ex-ante o de control de concentraciones.</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Actualmente, sin perjuicio de los avances en la legislación comparada, la política de competencia sigue resguardando los mismos objetivos. En primer término, que la dinámica </w:t>
      </w:r>
      <w:r>
        <w:rPr>
          <w:color w:val="000000"/>
        </w:rPr>
        <w:lastRenderedPageBreak/>
        <w:t>de los mercados se rija únicamente por la oferta y demanda, y si, por dicha interacción, algún agente obtiene el dominio de determinado mercado, su conducta podrá ser evaluada de forma posterior si tiene o no efectos anticompetitivos. Sin embargo, también identifica esta política que los agentes económicos participantes en el mercado pueden tener incentivos para alcanzar el poder del mercado con un efecto perjudicial a la competencia a través de una fusión o adquisición y, a partir de este dominio monopólico,  que tenga incentivos a imponer precios altos, reducción de la innovación, eliminación de otros competidores, entre otros. Con ello en mente, la finalidad de la política de libre competencia</w:t>
      </w:r>
      <w:r w:rsidR="007B1E44">
        <w:rPr>
          <w:color w:val="000000"/>
        </w:rPr>
        <w:t>,</w:t>
      </w:r>
      <w:r>
        <w:rPr>
          <w:color w:val="000000"/>
        </w:rPr>
        <w:t xml:space="preserve"> que es la protección del proceso competitivo para el mayor bienestar de los consumidores</w:t>
      </w:r>
      <w:r w:rsidR="007B1E44">
        <w:rPr>
          <w:color w:val="000000"/>
        </w:rPr>
        <w:t>,</w:t>
      </w:r>
      <w:r>
        <w:rPr>
          <w:color w:val="000000"/>
        </w:rPr>
        <w:t xml:space="preserve"> encuentra en el control de conductas y control de estructuras herramientas</w:t>
      </w:r>
      <w:r w:rsidR="007B1E44">
        <w:rPr>
          <w:color w:val="000000"/>
        </w:rPr>
        <w:t xml:space="preserve"> complementarias</w:t>
      </w:r>
      <w:r>
        <w:rPr>
          <w:color w:val="000000"/>
        </w:rPr>
        <w:t xml:space="preserve"> para vigilar el desarrollo del mercado en términos competitivos.</w:t>
      </w:r>
    </w:p>
    <w:p w:rsidR="002355F1" w:rsidRDefault="005A478B" w:rsidP="00123ED2">
      <w:pPr>
        <w:pStyle w:val="Ttulo3"/>
        <w:numPr>
          <w:ilvl w:val="2"/>
          <w:numId w:val="3"/>
        </w:numPr>
        <w:spacing w:line="360" w:lineRule="auto"/>
        <w:rPr>
          <w:color w:val="000000"/>
          <w:sz w:val="24"/>
          <w:szCs w:val="24"/>
        </w:rPr>
      </w:pPr>
      <w:bookmarkStart w:id="30" w:name="_Toc47387737"/>
      <w:r>
        <w:rPr>
          <w:color w:val="000000"/>
          <w:sz w:val="24"/>
          <w:szCs w:val="24"/>
        </w:rPr>
        <w:t>Control de estructuras en Perú</w:t>
      </w:r>
      <w:bookmarkEnd w:id="30"/>
    </w:p>
    <w:p w:rsidR="009B425A" w:rsidRDefault="00BF7EB0" w:rsidP="00D936C4">
      <w:pPr>
        <w:pBdr>
          <w:top w:val="nil"/>
          <w:left w:val="nil"/>
          <w:bottom w:val="nil"/>
          <w:right w:val="nil"/>
          <w:between w:val="nil"/>
        </w:pBdr>
        <w:spacing w:line="360" w:lineRule="auto"/>
        <w:jc w:val="both"/>
        <w:rPr>
          <w:color w:val="000000"/>
        </w:rPr>
      </w:pPr>
      <w:r>
        <w:t>Retomando lo desarrollado</w:t>
      </w:r>
      <w:r w:rsidR="005A478B">
        <w:t xml:space="preserve"> en la sección 4.2 sobre Política de Competencia, </w:t>
      </w:r>
      <w:r w:rsidR="00A82F6F">
        <w:rPr>
          <w:color w:val="000000"/>
        </w:rPr>
        <w:t>la</w:t>
      </w:r>
      <w:r w:rsidR="005A478B">
        <w:rPr>
          <w:color w:val="000000"/>
        </w:rPr>
        <w:t xml:space="preserve"> base constitucional</w:t>
      </w:r>
      <w:r>
        <w:rPr>
          <w:color w:val="000000"/>
        </w:rPr>
        <w:t xml:space="preserve"> </w:t>
      </w:r>
      <w:r w:rsidR="00A82F6F">
        <w:rPr>
          <w:color w:val="000000"/>
        </w:rPr>
        <w:t>del control de estructuras se encuentra</w:t>
      </w:r>
      <w:r w:rsidR="005A478B">
        <w:rPr>
          <w:color w:val="000000"/>
        </w:rPr>
        <w:t xml:space="preserve"> en el artículo 61 de la Constitución Política del Perú</w:t>
      </w:r>
      <w:r w:rsidR="00A82F6F">
        <w:rPr>
          <w:color w:val="000000"/>
        </w:rPr>
        <w:t xml:space="preserve">. </w:t>
      </w:r>
      <w:r w:rsidR="005A478B">
        <w:rPr>
          <w:color w:val="000000"/>
        </w:rPr>
        <w:t>El Estado</w:t>
      </w:r>
      <w:r w:rsidR="00A82F6F">
        <w:rPr>
          <w:color w:val="000000"/>
        </w:rPr>
        <w:t>,</w:t>
      </w:r>
      <w:r w:rsidR="005A478B">
        <w:rPr>
          <w:color w:val="000000"/>
        </w:rPr>
        <w:t xml:space="preserve"> para tutelar el proceso competitivo en Perú y promover así la libre competencia y la eficiencia económica en los mercados para el bienestar de los consumidores</w:t>
      </w:r>
      <w:r w:rsidR="00A82F6F">
        <w:rPr>
          <w:color w:val="000000"/>
        </w:rPr>
        <w:t xml:space="preserve">, </w:t>
      </w:r>
      <w:r w:rsidR="005A478B">
        <w:rPr>
          <w:color w:val="000000"/>
        </w:rPr>
        <w:t xml:space="preserve">hace uso de la herramienta de control de conductas y control de estructuras. </w:t>
      </w:r>
      <w:r w:rsidR="009B425A">
        <w:rPr>
          <w:color w:val="000000"/>
        </w:rPr>
        <w:t xml:space="preserve">Dichas herramientas, como ya ha sido expuesto, son complementarias: </w:t>
      </w:r>
    </w:p>
    <w:p w:rsidR="009B425A" w:rsidRDefault="009B425A" w:rsidP="00D936C4">
      <w:pPr>
        <w:pBdr>
          <w:top w:val="nil"/>
          <w:left w:val="nil"/>
          <w:bottom w:val="nil"/>
          <w:right w:val="nil"/>
          <w:between w:val="nil"/>
        </w:pBdr>
        <w:spacing w:line="360" w:lineRule="auto"/>
        <w:jc w:val="both"/>
        <w:rPr>
          <w:color w:val="000000"/>
        </w:rPr>
      </w:pPr>
    </w:p>
    <w:p w:rsidR="009B425A" w:rsidRPr="009B425A" w:rsidRDefault="009B425A" w:rsidP="009B425A">
      <w:pPr>
        <w:pStyle w:val="Prrafodelista"/>
        <w:numPr>
          <w:ilvl w:val="0"/>
          <w:numId w:val="33"/>
        </w:numPr>
        <w:pBdr>
          <w:top w:val="nil"/>
          <w:left w:val="nil"/>
          <w:bottom w:val="nil"/>
          <w:right w:val="nil"/>
          <w:between w:val="nil"/>
        </w:pBdr>
        <w:spacing w:line="360" w:lineRule="auto"/>
        <w:jc w:val="both"/>
        <w:rPr>
          <w:color w:val="000000"/>
        </w:rPr>
      </w:pPr>
      <w:r w:rsidRPr="009B425A">
        <w:rPr>
          <w:color w:val="000000"/>
        </w:rPr>
        <w:t xml:space="preserve">El control de estructuras un carácter preventivo y el control de </w:t>
      </w:r>
      <w:r>
        <w:rPr>
          <w:color w:val="000000"/>
        </w:rPr>
        <w:t>conductas</w:t>
      </w:r>
      <w:r w:rsidRPr="009B425A">
        <w:rPr>
          <w:color w:val="000000"/>
        </w:rPr>
        <w:t>, uno represivo.</w:t>
      </w:r>
    </w:p>
    <w:p w:rsidR="009B425A" w:rsidRPr="009B425A" w:rsidRDefault="009B425A" w:rsidP="009B425A">
      <w:pPr>
        <w:pStyle w:val="Prrafodelista"/>
        <w:numPr>
          <w:ilvl w:val="0"/>
          <w:numId w:val="33"/>
        </w:numPr>
        <w:pBdr>
          <w:top w:val="nil"/>
          <w:left w:val="nil"/>
          <w:bottom w:val="nil"/>
          <w:right w:val="nil"/>
          <w:between w:val="nil"/>
        </w:pBdr>
        <w:spacing w:line="360" w:lineRule="auto"/>
        <w:jc w:val="both"/>
        <w:rPr>
          <w:color w:val="000000"/>
        </w:rPr>
      </w:pPr>
      <w:r w:rsidRPr="009B425A">
        <w:rPr>
          <w:color w:val="000000"/>
        </w:rPr>
        <w:t xml:space="preserve">Son aplicables en distintos momentos de la relación de los agentes económicos en el mercado. </w:t>
      </w:r>
      <w:r>
        <w:rPr>
          <w:color w:val="000000"/>
        </w:rPr>
        <w:t>El control de estructuras tiene lugar antes de la concreción de un acto de concentración y el control de conductas investiga las acciones ya implementadas en el mercado.</w:t>
      </w:r>
    </w:p>
    <w:p w:rsidR="002355F1" w:rsidRPr="009B425A" w:rsidRDefault="009B425A" w:rsidP="009B425A">
      <w:pPr>
        <w:pStyle w:val="Prrafodelista"/>
        <w:numPr>
          <w:ilvl w:val="0"/>
          <w:numId w:val="33"/>
        </w:numPr>
        <w:pBdr>
          <w:top w:val="nil"/>
          <w:left w:val="nil"/>
          <w:bottom w:val="nil"/>
          <w:right w:val="nil"/>
          <w:between w:val="nil"/>
        </w:pBdr>
        <w:spacing w:line="360" w:lineRule="auto"/>
        <w:jc w:val="both"/>
        <w:rPr>
          <w:color w:val="000000"/>
        </w:rPr>
      </w:pPr>
      <w:r w:rsidRPr="009B425A">
        <w:rPr>
          <w:color w:val="000000"/>
        </w:rPr>
        <w:t xml:space="preserve">Requieren de procedimientos particulares para alcanzar sus objetivos. </w:t>
      </w:r>
    </w:p>
    <w:p w:rsidR="009B425A" w:rsidRPr="009B425A" w:rsidRDefault="009B425A" w:rsidP="009B425A">
      <w:pPr>
        <w:pStyle w:val="Prrafodelista"/>
        <w:pBdr>
          <w:top w:val="nil"/>
          <w:left w:val="nil"/>
          <w:bottom w:val="nil"/>
          <w:right w:val="nil"/>
          <w:between w:val="nil"/>
        </w:pBdr>
        <w:spacing w:line="360" w:lineRule="auto"/>
        <w:ind w:left="360"/>
        <w:jc w:val="both"/>
        <w:rPr>
          <w:color w:val="000000"/>
        </w:rPr>
      </w:pPr>
    </w:p>
    <w:p w:rsidR="002355F1" w:rsidRDefault="005A478B" w:rsidP="00D936C4">
      <w:pPr>
        <w:spacing w:line="360" w:lineRule="auto"/>
        <w:jc w:val="both"/>
        <w:rPr>
          <w:color w:val="000000"/>
        </w:rPr>
      </w:pPr>
      <w:r>
        <w:rPr>
          <w:color w:val="000000"/>
        </w:rPr>
        <w:t xml:space="preserve">En el Perú, el control de conductas se aplica en todos los sectores de la economía y las conductas perseguibles son las prácticas colusorias horizontales, también conocidas como cárteles, las prácticas colusorias verticales y el abuso de posición de dominio. El marco </w:t>
      </w:r>
      <w:r>
        <w:rPr>
          <w:color w:val="000000"/>
        </w:rPr>
        <w:lastRenderedPageBreak/>
        <w:t>normativo aplicable</w:t>
      </w:r>
      <w:r w:rsidR="009B425A">
        <w:rPr>
          <w:color w:val="000000"/>
        </w:rPr>
        <w:t xml:space="preserve"> </w:t>
      </w:r>
      <w:r>
        <w:rPr>
          <w:color w:val="000000"/>
        </w:rPr>
        <w:t xml:space="preserve">es el Decreto Legislativo 1034, Ley de Represión de Conductas Anticompetitivas.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Por </w:t>
      </w:r>
      <w:r w:rsidR="00E65F55">
        <w:rPr>
          <w:color w:val="000000"/>
        </w:rPr>
        <w:t>otra parte</w:t>
      </w:r>
      <w:r>
        <w:rPr>
          <w:color w:val="000000"/>
        </w:rPr>
        <w:t xml:space="preserve">, el control de estructuras en Perú se constituye como una herramienta de evaluación de la autoridad especializada, con la cual podrá observar las propuesta de operaciones de fusión o adquisición entre agentes y apoyándose en proyecciones económicas y legales, </w:t>
      </w:r>
      <w:r w:rsidR="0006405A">
        <w:rPr>
          <w:color w:val="000000"/>
        </w:rPr>
        <w:t xml:space="preserve">la autoridad de competencia </w:t>
      </w:r>
      <w:r>
        <w:rPr>
          <w:color w:val="000000"/>
        </w:rPr>
        <w:t xml:space="preserve">concluirá si dichas operaciones fomentan o no dañan la competencia. Es importante precisar que el enfoque de la autoridad no es evitar </w:t>
      </w:r>
      <w:r w:rsidR="0006405A">
        <w:rPr>
          <w:color w:val="000000"/>
        </w:rPr>
        <w:t xml:space="preserve">a rajatabla </w:t>
      </w:r>
      <w:r>
        <w:rPr>
          <w:color w:val="000000"/>
        </w:rPr>
        <w:t>las operaciones que creen eficiencia en los mercados; sin embargo, si está en capacidad de, en base a proyecciones, concluir si determinadas operaciones no crearán eficiencias y pueden, más bien, implica</w:t>
      </w:r>
      <w:r w:rsidR="0006405A">
        <w:rPr>
          <w:color w:val="000000"/>
        </w:rPr>
        <w:t>r</w:t>
      </w:r>
      <w:r>
        <w:rPr>
          <w:color w:val="000000"/>
        </w:rPr>
        <w:t xml:space="preserve"> barreras a futuros competidores, aumento de precios </w:t>
      </w:r>
      <w:r w:rsidR="0006405A">
        <w:rPr>
          <w:color w:val="000000"/>
        </w:rPr>
        <w:t>u otros efectos que</w:t>
      </w:r>
      <w:r>
        <w:rPr>
          <w:color w:val="000000"/>
        </w:rPr>
        <w:t xml:space="preserve"> incid</w:t>
      </w:r>
      <w:r w:rsidR="0006405A">
        <w:rPr>
          <w:color w:val="000000"/>
        </w:rPr>
        <w:t>a</w:t>
      </w:r>
      <w:r>
        <w:rPr>
          <w:color w:val="000000"/>
        </w:rPr>
        <w:t xml:space="preserve">n en la reducción del bienestar del consumidor.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El único sector que se encuentra a disposición del control de estructuras es el sector eléctrico. Tras la liberalización del sector en el año 1992, </w:t>
      </w:r>
      <w:r w:rsidR="001E3483">
        <w:rPr>
          <w:color w:val="000000"/>
        </w:rPr>
        <w:t xml:space="preserve">a través de la LCE </w:t>
      </w:r>
      <w:r>
        <w:rPr>
          <w:color w:val="000000"/>
        </w:rPr>
        <w:t xml:space="preserve">se promovió la segmentación en actividades como son la generación, la cual era posible de desarrollar en libre competencia, y la transmisión y distribución, actividades reguladas y sujetas a fijación tarifaria. </w:t>
      </w:r>
      <w:r w:rsidR="00D35FDF">
        <w:rPr>
          <w:color w:val="000000"/>
        </w:rPr>
        <w:t>Ahora, ¿cómo llegamos al presente estadío?</w:t>
      </w:r>
    </w:p>
    <w:p w:rsidR="002355F1" w:rsidRDefault="002355F1" w:rsidP="00D936C4">
      <w:pPr>
        <w:spacing w:line="360" w:lineRule="auto"/>
        <w:jc w:val="both"/>
        <w:rPr>
          <w:color w:val="000000"/>
        </w:rPr>
      </w:pPr>
    </w:p>
    <w:p w:rsidR="00D35FDF" w:rsidRDefault="00D35FDF" w:rsidP="00D936C4">
      <w:pPr>
        <w:spacing w:line="360" w:lineRule="auto"/>
        <w:jc w:val="both"/>
        <w:rPr>
          <w:color w:val="000000"/>
        </w:rPr>
      </w:pPr>
      <w:r>
        <w:rPr>
          <w:color w:val="000000"/>
        </w:rPr>
        <w:t>Fundamental</w:t>
      </w:r>
      <w:r w:rsidR="001E3483">
        <w:rPr>
          <w:color w:val="000000"/>
        </w:rPr>
        <w:t xml:space="preserve"> recordar que e</w:t>
      </w:r>
      <w:r w:rsidR="005A478B">
        <w:rPr>
          <w:color w:val="000000"/>
        </w:rPr>
        <w:t xml:space="preserve">l modelo </w:t>
      </w:r>
      <w:r>
        <w:rPr>
          <w:color w:val="000000"/>
        </w:rPr>
        <w:t>imperante en el sector eléctrico de inicio de la década de los noventa y previo a la adopción de la LCE. (</w:t>
      </w:r>
      <w:r w:rsidR="005A478B">
        <w:rPr>
          <w:color w:val="000000"/>
        </w:rPr>
        <w:t>monopolio estatal</w:t>
      </w:r>
      <w:r>
        <w:rPr>
          <w:color w:val="000000"/>
        </w:rPr>
        <w:t>)</w:t>
      </w:r>
      <w:r w:rsidR="005A478B">
        <w:rPr>
          <w:color w:val="000000"/>
        </w:rPr>
        <w:t xml:space="preserve"> no era sostenible pues la actividad eléctrica en el Perú mostraba un deterioro</w:t>
      </w:r>
      <w:r w:rsidR="001E3483">
        <w:rPr>
          <w:color w:val="000000"/>
        </w:rPr>
        <w:t>. Las deficiencias eran</w:t>
      </w:r>
      <w:r w:rsidR="005A478B">
        <w:rPr>
          <w:color w:val="000000"/>
        </w:rPr>
        <w:t xml:space="preserve"> consecuencia de</w:t>
      </w:r>
      <w:r w:rsidR="001E3483">
        <w:rPr>
          <w:color w:val="000000"/>
        </w:rPr>
        <w:t>:</w:t>
      </w:r>
      <w:r w:rsidR="005A478B">
        <w:rPr>
          <w:color w:val="000000"/>
        </w:rPr>
        <w:t xml:space="preserve"> la escasa inversión en infraestructura, </w:t>
      </w:r>
      <w:r w:rsidR="001E3483">
        <w:rPr>
          <w:color w:val="000000"/>
        </w:rPr>
        <w:t>los problemas para cubrir los costos de producción</w:t>
      </w:r>
      <w:r w:rsidR="005A478B">
        <w:rPr>
          <w:color w:val="000000"/>
        </w:rPr>
        <w:t>,</w:t>
      </w:r>
      <w:r w:rsidR="001E3483">
        <w:rPr>
          <w:color w:val="000000"/>
        </w:rPr>
        <w:t xml:space="preserve"> </w:t>
      </w:r>
      <w:r w:rsidR="005A478B">
        <w:rPr>
          <w:color w:val="000000"/>
        </w:rPr>
        <w:t xml:space="preserve">las </w:t>
      </w:r>
      <w:r w:rsidR="001E3483">
        <w:rPr>
          <w:color w:val="000000"/>
        </w:rPr>
        <w:t xml:space="preserve">limitadas </w:t>
      </w:r>
      <w:r w:rsidR="005A478B">
        <w:rPr>
          <w:color w:val="000000"/>
        </w:rPr>
        <w:t>inversiones en mantenimiento</w:t>
      </w:r>
      <w:r w:rsidR="001E3483">
        <w:rPr>
          <w:color w:val="000000"/>
        </w:rPr>
        <w:t xml:space="preserve">, </w:t>
      </w:r>
      <w:r w:rsidR="005A478B">
        <w:rPr>
          <w:color w:val="000000"/>
        </w:rPr>
        <w:t xml:space="preserve">y </w:t>
      </w:r>
      <w:r w:rsidR="001E3483">
        <w:rPr>
          <w:color w:val="000000"/>
        </w:rPr>
        <w:t>la</w:t>
      </w:r>
      <w:r w:rsidR="005A478B">
        <w:rPr>
          <w:color w:val="000000"/>
        </w:rPr>
        <w:t xml:space="preserve"> acción del terrorismo</w:t>
      </w:r>
      <w:r w:rsidR="001E3483">
        <w:rPr>
          <w:color w:val="000000"/>
        </w:rPr>
        <w:t>; todo ello devino en una</w:t>
      </w:r>
      <w:r w:rsidR="005A478B">
        <w:rPr>
          <w:color w:val="000000"/>
        </w:rPr>
        <w:t xml:space="preserve"> infraestructura severamente destruida</w:t>
      </w:r>
      <w:r w:rsidR="001E3483">
        <w:rPr>
          <w:color w:val="000000"/>
        </w:rPr>
        <w:t xml:space="preserve"> y poco estable al momento de provisionar el servicio de electricidad en el país</w:t>
      </w:r>
      <w:r w:rsidR="005A478B">
        <w:rPr>
          <w:color w:val="000000"/>
        </w:rPr>
        <w:t xml:space="preserve"> (Dammert 2005: 62).</w:t>
      </w:r>
      <w:r>
        <w:rPr>
          <w:color w:val="000000"/>
        </w:rPr>
        <w:t xml:space="preserve"> Como parte de las reformas en el sector eléctrico, un nuevo marco legal fue impuesto y parte fundamental del mismo fueron las innovaciones de la LCE ya mencionadas en párrafos anteriores. </w:t>
      </w:r>
    </w:p>
    <w:p w:rsidR="00D35FDF" w:rsidRDefault="00D35FDF" w:rsidP="00D936C4">
      <w:pPr>
        <w:spacing w:line="360" w:lineRule="auto"/>
        <w:jc w:val="both"/>
        <w:rPr>
          <w:color w:val="000000"/>
        </w:rPr>
      </w:pPr>
    </w:p>
    <w:p w:rsidR="001F214F" w:rsidRDefault="00D35FDF" w:rsidP="00D936C4">
      <w:pPr>
        <w:spacing w:line="360" w:lineRule="auto"/>
        <w:jc w:val="both"/>
        <w:rPr>
          <w:color w:val="000000"/>
        </w:rPr>
      </w:pPr>
      <w:r>
        <w:rPr>
          <w:color w:val="000000"/>
        </w:rPr>
        <w:t>Un siguiente paso fue encontrar e implementar una</w:t>
      </w:r>
      <w:r w:rsidR="005A478B">
        <w:rPr>
          <w:color w:val="000000"/>
        </w:rPr>
        <w:t xml:space="preserve"> herramienta que garantice el propósito de la Ley de Concesiones Eléctricas, </w:t>
      </w:r>
      <w:r>
        <w:rPr>
          <w:color w:val="000000"/>
        </w:rPr>
        <w:t>garantizar el proceso de liberalización del sector y</w:t>
      </w:r>
      <w:r w:rsidR="005A478B">
        <w:rPr>
          <w:color w:val="000000"/>
        </w:rPr>
        <w:t xml:space="preserve"> evitar </w:t>
      </w:r>
      <w:r w:rsidR="005A478B">
        <w:rPr>
          <w:color w:val="000000"/>
        </w:rPr>
        <w:lastRenderedPageBreak/>
        <w:t>las ineficiencias propias del sistema previo a la liberalización</w:t>
      </w:r>
      <w:r>
        <w:rPr>
          <w:color w:val="000000"/>
        </w:rPr>
        <w:t>. ¿Cuál era el mandato que concretizaba dichas aspiraciones? Asegurar</w:t>
      </w:r>
      <w:r w:rsidR="005A478B">
        <w:rPr>
          <w:color w:val="000000"/>
        </w:rPr>
        <w:t xml:space="preserve"> que las actividades segmentadas no serían efectuadas por un mismo titular. Dicha intención </w:t>
      </w:r>
      <w:r>
        <w:rPr>
          <w:color w:val="000000"/>
        </w:rPr>
        <w:t>fue la que motivó la redacción del artículo 122 de la LCE en su</w:t>
      </w:r>
      <w:r w:rsidR="005A478B">
        <w:rPr>
          <w:color w:val="000000"/>
        </w:rPr>
        <w:t xml:space="preserve"> versión original. </w:t>
      </w:r>
    </w:p>
    <w:p w:rsidR="001F214F" w:rsidRDefault="001F214F" w:rsidP="00D936C4">
      <w:pPr>
        <w:spacing w:line="360" w:lineRule="auto"/>
        <w:jc w:val="both"/>
        <w:rPr>
          <w:color w:val="000000"/>
        </w:rPr>
      </w:pPr>
    </w:p>
    <w:p w:rsidR="00D35FDF" w:rsidRDefault="005A478B" w:rsidP="00D35FDF">
      <w:pPr>
        <w:spacing w:line="360" w:lineRule="auto"/>
        <w:ind w:left="720"/>
        <w:jc w:val="both"/>
        <w:rPr>
          <w:color w:val="000000"/>
          <w:sz w:val="20"/>
          <w:szCs w:val="20"/>
        </w:rPr>
      </w:pPr>
      <w:r w:rsidRPr="00324395">
        <w:rPr>
          <w:b/>
          <w:color w:val="000000"/>
          <w:sz w:val="20"/>
          <w:szCs w:val="20"/>
        </w:rPr>
        <w:t>Ley de Concesiones Eléctricas</w:t>
      </w:r>
    </w:p>
    <w:p w:rsidR="00D35FDF" w:rsidRPr="00D35FDF" w:rsidRDefault="00D35FDF" w:rsidP="00D35FDF">
      <w:pPr>
        <w:spacing w:line="360" w:lineRule="auto"/>
        <w:ind w:left="720"/>
        <w:jc w:val="both"/>
        <w:rPr>
          <w:color w:val="000000"/>
          <w:sz w:val="20"/>
          <w:szCs w:val="20"/>
        </w:rPr>
      </w:pPr>
      <w:r w:rsidRPr="00D35FDF">
        <w:rPr>
          <w:color w:val="000000"/>
          <w:sz w:val="20"/>
          <w:szCs w:val="20"/>
        </w:rPr>
        <w:t>Artículo 122.-</w:t>
      </w:r>
      <w:r w:rsidRPr="00D35FDF">
        <w:rPr>
          <w:sz w:val="20"/>
          <w:szCs w:val="20"/>
        </w:rPr>
        <w:t> </w:t>
      </w:r>
      <w:r w:rsidRPr="00D35FDF">
        <w:rPr>
          <w:color w:val="000000"/>
          <w:sz w:val="20"/>
          <w:szCs w:val="20"/>
        </w:rPr>
        <w:t>Las actividades de generación, de transmisión perteneciente al Sistema Principal y de distribución de energía eléctrica no podrán efectuarse simultáneamente por un mismo titular, salvo en los casos previstos en la presente Ley</w:t>
      </w:r>
      <w:r>
        <w:rPr>
          <w:color w:val="000000"/>
          <w:sz w:val="20"/>
          <w:szCs w:val="20"/>
        </w:rPr>
        <w:t>.</w:t>
      </w:r>
    </w:p>
    <w:p w:rsidR="002355F1" w:rsidRDefault="002355F1" w:rsidP="00D936C4">
      <w:pPr>
        <w:spacing w:line="360" w:lineRule="auto"/>
        <w:ind w:left="720"/>
        <w:jc w:val="both"/>
        <w:rPr>
          <w:color w:val="000000"/>
          <w:sz w:val="22"/>
          <w:szCs w:val="22"/>
        </w:rPr>
      </w:pPr>
    </w:p>
    <w:p w:rsidR="00564B09" w:rsidRDefault="00264F97" w:rsidP="00D936C4">
      <w:pPr>
        <w:spacing w:line="360" w:lineRule="auto"/>
        <w:jc w:val="both"/>
        <w:rPr>
          <w:color w:val="000000"/>
        </w:rPr>
      </w:pPr>
      <w:r>
        <w:rPr>
          <w:color w:val="000000"/>
        </w:rPr>
        <w:t xml:space="preserve">¿Cuál era el problema de la disposición en su redacción original? Si bien la intención del legislador era </w:t>
      </w:r>
      <w:r w:rsidR="00564B09">
        <w:rPr>
          <w:color w:val="000000"/>
        </w:rPr>
        <w:t xml:space="preserve">evitar que el control del sector recaiga en un único interés, representado por un agente económico, ello no evitaba que diversos agentes económicos que fueran parte de un mismo grupo económico tomen control de las actividades del sector. Así, una alternativa para evadir la prohibición era actuar a través de un único agente en varios sectores era actuar a través de diversos agentes, pertenecientes a un mismo grupo económico y que, en consecuencia, continuaban respondiendo a un único interés. En la práctica, fue evidente que ún unico interés podía concentrar el control en el mercado eléctrico actuando a través de diversos agentes económicos y esta maniobra desdibujaba el objetivo de competencia y liberalización del mercado eléctrico. </w:t>
      </w:r>
    </w:p>
    <w:p w:rsidR="00264F97" w:rsidRDefault="00564B09" w:rsidP="00D936C4">
      <w:pPr>
        <w:spacing w:line="360" w:lineRule="auto"/>
        <w:jc w:val="both"/>
        <w:rPr>
          <w:color w:val="000000"/>
        </w:rPr>
      </w:pPr>
      <w:r>
        <w:rPr>
          <w:color w:val="000000"/>
        </w:rPr>
        <w:t xml:space="preserve"> </w:t>
      </w:r>
    </w:p>
    <w:p w:rsidR="002355F1" w:rsidRDefault="00B43B8F" w:rsidP="00D936C4">
      <w:pPr>
        <w:spacing w:line="360" w:lineRule="auto"/>
        <w:jc w:val="both"/>
        <w:rPr>
          <w:color w:val="000000"/>
        </w:rPr>
      </w:pPr>
      <w:r>
        <w:rPr>
          <w:color w:val="000000"/>
        </w:rPr>
        <w:t xml:space="preserve">Vistas las deficiencias, la disposición </w:t>
      </w:r>
      <w:r w:rsidR="005A478B">
        <w:rPr>
          <w:color w:val="000000"/>
        </w:rPr>
        <w:t xml:space="preserve">requirió de una herramienta de control para garantizar la permanencia de dicha segmentación y el traslado a los privados de las acciones del sector eléctrico. </w:t>
      </w:r>
      <w:r w:rsidR="00144F24">
        <w:rPr>
          <w:color w:val="000000"/>
        </w:rPr>
        <w:t>En consecuencia,</w:t>
      </w:r>
      <w:r w:rsidR="005A478B">
        <w:rPr>
          <w:color w:val="000000"/>
        </w:rPr>
        <w:t xml:space="preserve"> se planteó la modificación e inclusión de un segundo párrafo</w:t>
      </w:r>
      <w:r w:rsidR="00144F24">
        <w:rPr>
          <w:color w:val="000000"/>
        </w:rPr>
        <w:t xml:space="preserve"> al artículo 122 de la LCE</w:t>
      </w:r>
      <w:r w:rsidR="005A478B">
        <w:rPr>
          <w:color w:val="000000"/>
        </w:rPr>
        <w:t xml:space="preserve">. </w:t>
      </w:r>
    </w:p>
    <w:p w:rsidR="00264F97" w:rsidRDefault="00264F97" w:rsidP="00D936C4">
      <w:pPr>
        <w:spacing w:line="360" w:lineRule="auto"/>
        <w:jc w:val="both"/>
        <w:rPr>
          <w:color w:val="000000"/>
        </w:rPr>
      </w:pPr>
    </w:p>
    <w:p w:rsidR="00264F97" w:rsidRDefault="005A478B" w:rsidP="00264F97">
      <w:pPr>
        <w:spacing w:line="360" w:lineRule="auto"/>
        <w:ind w:left="720"/>
        <w:jc w:val="both"/>
        <w:rPr>
          <w:b/>
          <w:color w:val="000000"/>
          <w:sz w:val="20"/>
          <w:szCs w:val="20"/>
        </w:rPr>
      </w:pPr>
      <w:r w:rsidRPr="00324395">
        <w:rPr>
          <w:b/>
          <w:color w:val="000000"/>
          <w:sz w:val="20"/>
          <w:szCs w:val="20"/>
        </w:rPr>
        <w:t>Ley de Concesiones Eléctricas</w:t>
      </w:r>
    </w:p>
    <w:p w:rsidR="00264F97" w:rsidRPr="00264F97" w:rsidRDefault="00264F97" w:rsidP="00264F97">
      <w:pPr>
        <w:spacing w:line="360" w:lineRule="auto"/>
        <w:ind w:left="720"/>
        <w:jc w:val="both"/>
        <w:rPr>
          <w:color w:val="000000"/>
          <w:sz w:val="20"/>
          <w:szCs w:val="20"/>
        </w:rPr>
      </w:pPr>
      <w:r w:rsidRPr="00264F97">
        <w:rPr>
          <w:color w:val="000000"/>
          <w:sz w:val="20"/>
          <w:szCs w:val="20"/>
        </w:rPr>
        <w:t>Artículo 122.-</w:t>
      </w:r>
      <w:r w:rsidRPr="00264F97">
        <w:t> </w:t>
      </w:r>
      <w:r w:rsidRPr="00264F97">
        <w:rPr>
          <w:color w:val="000000"/>
          <w:sz w:val="20"/>
          <w:szCs w:val="20"/>
        </w:rPr>
        <w:t xml:space="preserve">Las actividades de generación y/o de transmisión pertenecientes al Sistema principal y/o de distribución de energía eléctrica, no podrán efectuarse por un mismo titular </w:t>
      </w:r>
      <w:r w:rsidRPr="00264F97">
        <w:rPr>
          <w:i/>
          <w:color w:val="000000"/>
          <w:sz w:val="20"/>
          <w:szCs w:val="20"/>
        </w:rPr>
        <w:t>o por quien ejerza directa o indirectamente el control de éste,</w:t>
      </w:r>
      <w:r w:rsidRPr="00264F97">
        <w:rPr>
          <w:color w:val="000000"/>
          <w:sz w:val="20"/>
          <w:szCs w:val="20"/>
        </w:rPr>
        <w:t xml:space="preserve"> salvo lo dispuesto en la presente Ley.</w:t>
      </w:r>
    </w:p>
    <w:p w:rsidR="00264F97" w:rsidRPr="00264F97" w:rsidRDefault="00264F97" w:rsidP="00264F97">
      <w:pPr>
        <w:spacing w:line="360" w:lineRule="auto"/>
        <w:ind w:left="720"/>
        <w:jc w:val="both"/>
        <w:rPr>
          <w:color w:val="000000"/>
          <w:sz w:val="20"/>
          <w:szCs w:val="20"/>
        </w:rPr>
      </w:pPr>
      <w:r w:rsidRPr="00264F97">
        <w:rPr>
          <w:color w:val="000000"/>
          <w:sz w:val="20"/>
          <w:szCs w:val="20"/>
        </w:rPr>
        <w:t xml:space="preserve">Quedan excluidos de dicha prohibición, los actos de concentración de tipo vertical u horizontal que se produzcan en las actividades de generación y/o de transmisión y/o de distribución, que no impliquen </w:t>
      </w:r>
      <w:r w:rsidRPr="00264F97">
        <w:rPr>
          <w:color w:val="000000"/>
          <w:sz w:val="20"/>
          <w:szCs w:val="20"/>
        </w:rPr>
        <w:lastRenderedPageBreak/>
        <w:t>una disminución daño o restricción a la competencia y la libre concurrencia en los mercados de las actividades mencionadas o en los mercados relacionados.</w:t>
      </w:r>
    </w:p>
    <w:p w:rsidR="002355F1" w:rsidRDefault="002355F1" w:rsidP="00D936C4">
      <w:pPr>
        <w:spacing w:line="360" w:lineRule="auto"/>
        <w:jc w:val="both"/>
        <w:rPr>
          <w:color w:val="000000"/>
        </w:rPr>
      </w:pPr>
    </w:p>
    <w:p w:rsidR="00144F24" w:rsidRDefault="00144F24" w:rsidP="00D936C4">
      <w:pPr>
        <w:spacing w:line="360" w:lineRule="auto"/>
        <w:jc w:val="both"/>
        <w:rPr>
          <w:color w:val="000000"/>
        </w:rPr>
      </w:pPr>
      <w:r>
        <w:rPr>
          <w:color w:val="000000"/>
        </w:rPr>
        <w:t xml:space="preserve">Simultáneamente, </w:t>
      </w:r>
      <w:r w:rsidR="005A478B">
        <w:rPr>
          <w:color w:val="000000"/>
        </w:rPr>
        <w:t>la promulgación de la Ley 26876 concretizó la herramienta de control requerida por el sector eléctrico</w:t>
      </w:r>
      <w:r>
        <w:rPr>
          <w:color w:val="000000"/>
        </w:rPr>
        <w:t xml:space="preserve"> y fue</w:t>
      </w:r>
      <w:r w:rsidR="005A478B">
        <w:rPr>
          <w:color w:val="000000"/>
        </w:rPr>
        <w:t xml:space="preserve"> adopt</w:t>
      </w:r>
      <w:r>
        <w:rPr>
          <w:color w:val="000000"/>
        </w:rPr>
        <w:t xml:space="preserve">ado </w:t>
      </w:r>
      <w:r w:rsidR="005A478B">
        <w:rPr>
          <w:color w:val="000000"/>
        </w:rPr>
        <w:t xml:space="preserve">como criterio evaluador para la prohibición de </w:t>
      </w:r>
      <w:r>
        <w:rPr>
          <w:color w:val="000000"/>
        </w:rPr>
        <w:t>los actos</w:t>
      </w:r>
      <w:r w:rsidR="005A478B">
        <w:rPr>
          <w:color w:val="000000"/>
        </w:rPr>
        <w:t xml:space="preserve"> de concentración el análisis de daño o restricción a la competencia. </w:t>
      </w:r>
    </w:p>
    <w:p w:rsidR="00144F24" w:rsidRDefault="00144F24" w:rsidP="00D936C4">
      <w:pPr>
        <w:spacing w:line="360" w:lineRule="auto"/>
        <w:jc w:val="both"/>
        <w:rPr>
          <w:color w:val="000000"/>
        </w:rPr>
      </w:pPr>
    </w:p>
    <w:p w:rsidR="002355F1" w:rsidRDefault="00144F24" w:rsidP="00D936C4">
      <w:pPr>
        <w:spacing w:line="360" w:lineRule="auto"/>
        <w:jc w:val="both"/>
        <w:rPr>
          <w:color w:val="000000"/>
        </w:rPr>
      </w:pPr>
      <w:r>
        <w:rPr>
          <w:color w:val="000000"/>
        </w:rPr>
        <w:t>Tanto con la modificación del artículo 122 de la LCE así como la promulgación de la Ley 26876</w:t>
      </w:r>
      <w:r w:rsidR="005A478B">
        <w:rPr>
          <w:color w:val="000000"/>
        </w:rPr>
        <w:t xml:space="preserve">, el sector eléctrico pasó de ser un sistema que prohibía la integración, a uno que admitía dichos supuestos de integración siempre que la autoridad de competencia no observe en su análisis daños a la competencia. </w:t>
      </w:r>
    </w:p>
    <w:p w:rsidR="00DB5D5D" w:rsidRPr="000A7F18" w:rsidRDefault="00DB5D5D" w:rsidP="00123ED2">
      <w:pPr>
        <w:pStyle w:val="Ttulo3"/>
        <w:numPr>
          <w:ilvl w:val="2"/>
          <w:numId w:val="3"/>
        </w:numPr>
        <w:spacing w:line="360" w:lineRule="auto"/>
        <w:rPr>
          <w:color w:val="000000"/>
          <w:sz w:val="24"/>
          <w:szCs w:val="24"/>
        </w:rPr>
      </w:pPr>
      <w:bookmarkStart w:id="31" w:name="_Toc47387738"/>
      <w:r w:rsidRPr="00DB5D5D">
        <w:rPr>
          <w:sz w:val="24"/>
          <w:szCs w:val="24"/>
        </w:rPr>
        <w:t>El control de concentraciones: naturaleza de autorización administrativa</w:t>
      </w:r>
      <w:bookmarkEnd w:id="31"/>
    </w:p>
    <w:p w:rsidR="00DB5D5D" w:rsidRDefault="00DB5D5D" w:rsidP="00D936C4">
      <w:pPr>
        <w:pBdr>
          <w:top w:val="nil"/>
          <w:left w:val="nil"/>
          <w:bottom w:val="nil"/>
          <w:right w:val="nil"/>
          <w:between w:val="nil"/>
        </w:pBdr>
        <w:spacing w:line="360" w:lineRule="auto"/>
        <w:jc w:val="both"/>
      </w:pPr>
      <w:r>
        <w:t xml:space="preserve">El control de concentraciones es una forma de intervención del Estado, con sustento en el poder de policía para alcanzar los objetivos de la política de competencia. Así, la intervención toma con herramienta el procedimiento administrativo de autorización para materializar la intervención y alcanzar sus objetivos de control. </w:t>
      </w:r>
    </w:p>
    <w:p w:rsidR="000A7F18" w:rsidRDefault="000A7F18" w:rsidP="00D936C4">
      <w:pPr>
        <w:pBdr>
          <w:top w:val="nil"/>
          <w:left w:val="nil"/>
          <w:bottom w:val="nil"/>
          <w:right w:val="nil"/>
          <w:between w:val="nil"/>
        </w:pBdr>
        <w:spacing w:line="360" w:lineRule="auto"/>
        <w:jc w:val="both"/>
      </w:pPr>
    </w:p>
    <w:p w:rsidR="00DB5D5D" w:rsidRDefault="00DB5D5D" w:rsidP="00D936C4">
      <w:pPr>
        <w:pBdr>
          <w:top w:val="nil"/>
          <w:left w:val="nil"/>
          <w:bottom w:val="nil"/>
          <w:right w:val="nil"/>
          <w:between w:val="nil"/>
        </w:pBdr>
        <w:spacing w:line="360" w:lineRule="auto"/>
        <w:jc w:val="both"/>
      </w:pPr>
      <w:r>
        <w:t>Como primera paso, podemos observar que la intervención estatal requiere del policía de la Administración Pública, el cual supone el ejercicio de potestades de limitación de los derechos de los administrados, para garantizar la satisfacción de los intereses generales y las metas de la propia Administración. Así, Fernando Garrido Falla define a la policía administrativa como “aquella actividad que la Administración despliega en el ejercicio de sus propias potestades que, para garantizar el mantenimiento del orden público, limita los derechos de los administrados, mediante el ejercicio, en su caso, de la coacción sobre los mismos” (Garrido Falla 1959: 12).</w:t>
      </w:r>
    </w:p>
    <w:p w:rsidR="00DB5D5D" w:rsidRDefault="00DB5D5D" w:rsidP="00D936C4">
      <w:pPr>
        <w:pBdr>
          <w:top w:val="nil"/>
          <w:left w:val="nil"/>
          <w:bottom w:val="nil"/>
          <w:right w:val="nil"/>
          <w:between w:val="nil"/>
        </w:pBdr>
        <w:spacing w:line="360" w:lineRule="auto"/>
        <w:jc w:val="both"/>
      </w:pPr>
    </w:p>
    <w:p w:rsidR="00DB5D5D" w:rsidRDefault="00DB5D5D" w:rsidP="00D936C4">
      <w:pPr>
        <w:pBdr>
          <w:top w:val="nil"/>
          <w:left w:val="nil"/>
          <w:bottom w:val="nil"/>
          <w:right w:val="nil"/>
          <w:between w:val="nil"/>
        </w:pBdr>
        <w:spacing w:line="360" w:lineRule="auto"/>
        <w:jc w:val="both"/>
      </w:pPr>
      <w:r>
        <w:t xml:space="preserve">El mismo autor, indica que las actividades pueden, o realizarse bajo libertad sin restricciones o bajo autorización previa. </w:t>
      </w:r>
      <w:r w:rsidR="00032938">
        <w:t>En sintonía con lo expuesto</w:t>
      </w:r>
      <w:r>
        <w:t>, la policía administrativa hace uso de medidas para efectivizar su control en situaciones de especial interés a través de las autorizaciones</w:t>
      </w:r>
      <w:r w:rsidR="00671A9A">
        <w:t>,</w:t>
      </w:r>
      <w:r>
        <w:t xml:space="preserve"> la</w:t>
      </w:r>
      <w:r w:rsidR="00671A9A">
        <w:t>s</w:t>
      </w:r>
      <w:r>
        <w:t xml:space="preserve"> cual</w:t>
      </w:r>
      <w:r w:rsidR="00671A9A">
        <w:t>es</w:t>
      </w:r>
      <w:r>
        <w:t xml:space="preserve"> incide</w:t>
      </w:r>
      <w:r w:rsidR="00671A9A">
        <w:t>n</w:t>
      </w:r>
      <w:r>
        <w:t xml:space="preserve"> en la decisión sobre el ejercicio o no de derechos </w:t>
      </w:r>
      <w:r>
        <w:lastRenderedPageBreak/>
        <w:t xml:space="preserve">individuales en la vida en sociedad (Garrido Falla 1959: Páginas 25-26). Bajo esta figura encontramos el procedimiento de autorización, del cual hace uso la autoridad de competencia para controlar y prevenir aquellos actos de concentración que, por sus características y tras el análisis legal y económico, resulten contraproducentes al mercado. </w:t>
      </w:r>
    </w:p>
    <w:p w:rsidR="00DB5D5D" w:rsidRDefault="00DB5D5D" w:rsidP="00D936C4">
      <w:pPr>
        <w:pBdr>
          <w:top w:val="nil"/>
          <w:left w:val="nil"/>
          <w:bottom w:val="nil"/>
          <w:right w:val="nil"/>
          <w:between w:val="nil"/>
        </w:pBdr>
        <w:spacing w:line="360" w:lineRule="auto"/>
        <w:jc w:val="both"/>
      </w:pPr>
    </w:p>
    <w:p w:rsidR="00DB5D5D" w:rsidRPr="00DB5D5D" w:rsidRDefault="00DB5D5D" w:rsidP="00D936C4">
      <w:pPr>
        <w:pBdr>
          <w:top w:val="nil"/>
          <w:left w:val="nil"/>
          <w:bottom w:val="nil"/>
          <w:right w:val="nil"/>
          <w:between w:val="nil"/>
        </w:pBdr>
        <w:spacing w:line="360" w:lineRule="auto"/>
        <w:jc w:val="both"/>
      </w:pPr>
      <w:r>
        <w:t>La autorización</w:t>
      </w:r>
      <w:r w:rsidR="00671A9A">
        <w:t xml:space="preserve"> es </w:t>
      </w:r>
      <w:r>
        <w:t>definida también por Laguna de Paz como el acto mediante el cual la Administración realiza un control preventivo, ajustándose a los principios de legalidad y oportunidad, sobre una actividad que es de libre iniciativa (Laguna de Paz 2006: 52)</w:t>
      </w:r>
      <w:r w:rsidR="00671A9A">
        <w:t xml:space="preserve"> y</w:t>
      </w:r>
      <w:r w:rsidR="00DB1670">
        <w:t>, en el caso particular del control previo de concentraciones,</w:t>
      </w:r>
      <w:r w:rsidR="00671A9A">
        <w:t xml:space="preserve"> p</w:t>
      </w:r>
      <w:r>
        <w:t xml:space="preserve">uede resultar </w:t>
      </w:r>
      <w:r w:rsidR="00DB1670">
        <w:t>hasta en 3</w:t>
      </w:r>
      <w:r>
        <w:t xml:space="preserve"> sentidos: aprobada</w:t>
      </w:r>
      <w:r w:rsidR="00DB1670">
        <w:t xml:space="preserve">, aprobada </w:t>
      </w:r>
      <w:r>
        <w:t xml:space="preserve">con condiciones o la denegación de la solicitud. </w:t>
      </w:r>
      <w:r w:rsidR="005563E8">
        <w:t>Ahondando en el control previo,</w:t>
      </w:r>
      <w:r>
        <w:t xml:space="preserve"> la autoridad debe realizar un análisis tanto de estructura para observar si procede el </w:t>
      </w:r>
      <w:r w:rsidR="005563E8">
        <w:t>trámite de la solicitud</w:t>
      </w:r>
      <w:r>
        <w:t xml:space="preserve"> (</w:t>
      </w:r>
      <w:r w:rsidR="00671A9A">
        <w:t xml:space="preserve">verificar si nos encontramos frente a un </w:t>
      </w:r>
      <w:r>
        <w:t xml:space="preserve">acto de concentración que incida en el control y umbrales) y funcional </w:t>
      </w:r>
      <w:r w:rsidR="005563E8">
        <w:t xml:space="preserve">donde estudia el fondo de la propuesta </w:t>
      </w:r>
      <w:r>
        <w:t>(</w:t>
      </w:r>
      <w:r w:rsidR="00671A9A">
        <w:t xml:space="preserve">analiza </w:t>
      </w:r>
      <w:r>
        <w:t>los</w:t>
      </w:r>
      <w:r w:rsidR="00671A9A">
        <w:t xml:space="preserve"> posibles</w:t>
      </w:r>
      <w:r>
        <w:t xml:space="preserve"> efectos de la operación</w:t>
      </w:r>
      <w:r w:rsidR="00671A9A">
        <w:t xml:space="preserve"> en el mercado</w:t>
      </w:r>
      <w:r>
        <w:t xml:space="preserve">). </w:t>
      </w:r>
    </w:p>
    <w:p w:rsidR="002355F1" w:rsidRDefault="00A166C6" w:rsidP="00123ED2">
      <w:pPr>
        <w:pStyle w:val="Ttulo3"/>
        <w:numPr>
          <w:ilvl w:val="2"/>
          <w:numId w:val="3"/>
        </w:numPr>
        <w:spacing w:line="360" w:lineRule="auto"/>
        <w:rPr>
          <w:color w:val="000000"/>
          <w:sz w:val="24"/>
          <w:szCs w:val="24"/>
        </w:rPr>
      </w:pPr>
      <w:r>
        <w:rPr>
          <w:color w:val="000000"/>
          <w:sz w:val="24"/>
          <w:szCs w:val="24"/>
        </w:rPr>
        <w:t xml:space="preserve"> </w:t>
      </w:r>
      <w:bookmarkStart w:id="32" w:name="_Toc47387739"/>
      <w:r w:rsidR="000C008F">
        <w:rPr>
          <w:color w:val="000000"/>
          <w:sz w:val="24"/>
          <w:szCs w:val="24"/>
        </w:rPr>
        <w:t>Las dos etapas del control previo. Análisis de procedencia y análisis del fondo de la propuesta.</w:t>
      </w:r>
      <w:bookmarkEnd w:id="32"/>
      <w:r w:rsidR="000C008F">
        <w:rPr>
          <w:color w:val="000000"/>
          <w:sz w:val="24"/>
          <w:szCs w:val="24"/>
        </w:rPr>
        <w:t xml:space="preserve">  </w:t>
      </w:r>
    </w:p>
    <w:p w:rsidR="002355F1" w:rsidRDefault="005A478B" w:rsidP="00D936C4">
      <w:pPr>
        <w:spacing w:line="360" w:lineRule="auto"/>
        <w:jc w:val="both"/>
      </w:pPr>
      <w:r>
        <w:rPr>
          <w:color w:val="000000"/>
        </w:rPr>
        <w:t xml:space="preserve">Entonces, mediante la Ley 26876, Ley Antimonopolio y Antioligopolio del Sector Eléctrico vigente desde el año 1997, </w:t>
      </w:r>
      <w:r w:rsidR="00DB5D5D">
        <w:rPr>
          <w:color w:val="000000"/>
        </w:rPr>
        <w:t xml:space="preserve">que </w:t>
      </w:r>
      <w:r>
        <w:rPr>
          <w:color w:val="000000"/>
        </w:rPr>
        <w:t xml:space="preserve">regula en el Perú las concentraciones en el sector eléctrico </w:t>
      </w:r>
      <w:r w:rsidR="00FB0F2E">
        <w:rPr>
          <w:color w:val="000000"/>
        </w:rPr>
        <w:t>con</w:t>
      </w:r>
      <w:r w:rsidR="00DB5D5D">
        <w:rPr>
          <w:color w:val="000000"/>
        </w:rPr>
        <w:t xml:space="preserve"> el</w:t>
      </w:r>
      <w:r>
        <w:t xml:space="preserve"> objetivo </w:t>
      </w:r>
      <w:r w:rsidR="000A1019">
        <w:t>de e</w:t>
      </w:r>
      <w:r>
        <w:t xml:space="preserve">vitar </w:t>
      </w:r>
      <w:r w:rsidR="002A6557">
        <w:t>aquellos</w:t>
      </w:r>
      <w:r>
        <w:t xml:space="preserve"> actos de concentración que tengan por efecto disminuir, dañar o impedir la competencia y la libre concurrencia en </w:t>
      </w:r>
      <w:r w:rsidR="002A6557">
        <w:t>el sector eléctrico.</w:t>
      </w:r>
    </w:p>
    <w:p w:rsidR="002355F1" w:rsidRDefault="002355F1" w:rsidP="00D936C4">
      <w:pPr>
        <w:spacing w:line="360" w:lineRule="auto"/>
        <w:jc w:val="both"/>
        <w:rPr>
          <w:color w:val="000000"/>
        </w:rPr>
      </w:pPr>
    </w:p>
    <w:p w:rsidR="000A1019" w:rsidRDefault="000A1019" w:rsidP="00D936C4">
      <w:pPr>
        <w:spacing w:line="360" w:lineRule="auto"/>
        <w:jc w:val="both"/>
        <w:rPr>
          <w:color w:val="000000"/>
        </w:rPr>
      </w:pPr>
      <w:r>
        <w:rPr>
          <w:color w:val="000000"/>
        </w:rPr>
        <w:t xml:space="preserve">Para ello, en </w:t>
      </w:r>
      <w:r w:rsidR="00FB0F2E">
        <w:rPr>
          <w:color w:val="000000"/>
        </w:rPr>
        <w:t>el</w:t>
      </w:r>
      <w:r>
        <w:rPr>
          <w:color w:val="000000"/>
        </w:rPr>
        <w:t xml:space="preserve"> análisis de</w:t>
      </w:r>
      <w:r w:rsidR="00FB0F2E">
        <w:rPr>
          <w:color w:val="000000"/>
        </w:rPr>
        <w:t xml:space="preserve"> la concentración propuesta</w:t>
      </w:r>
      <w:r>
        <w:rPr>
          <w:color w:val="000000"/>
        </w:rPr>
        <w:t>, se sigue un</w:t>
      </w:r>
      <w:r w:rsidR="002A6557">
        <w:rPr>
          <w:color w:val="000000"/>
        </w:rPr>
        <w:t xml:space="preserve"> trámite </w:t>
      </w:r>
      <w:r>
        <w:rPr>
          <w:color w:val="000000"/>
        </w:rPr>
        <w:t xml:space="preserve">que podría ser </w:t>
      </w:r>
      <w:r w:rsidR="00A166C6">
        <w:rPr>
          <w:color w:val="000000"/>
        </w:rPr>
        <w:t xml:space="preserve">esquematizado </w:t>
      </w:r>
      <w:r>
        <w:rPr>
          <w:color w:val="000000"/>
        </w:rPr>
        <w:t xml:space="preserve">en dos etapas: </w:t>
      </w:r>
    </w:p>
    <w:p w:rsidR="000A1019" w:rsidRDefault="000A1019" w:rsidP="00D936C4">
      <w:pPr>
        <w:spacing w:line="360" w:lineRule="auto"/>
        <w:jc w:val="both"/>
        <w:rPr>
          <w:color w:val="000000"/>
        </w:rPr>
      </w:pPr>
    </w:p>
    <w:p w:rsidR="00FB0F2E" w:rsidRPr="00FB0F2E" w:rsidRDefault="000A1019" w:rsidP="00D936C4">
      <w:pPr>
        <w:pStyle w:val="Prrafodelista"/>
        <w:numPr>
          <w:ilvl w:val="0"/>
          <w:numId w:val="27"/>
        </w:numPr>
        <w:spacing w:line="360" w:lineRule="auto"/>
        <w:jc w:val="both"/>
        <w:rPr>
          <w:color w:val="000000"/>
        </w:rPr>
      </w:pPr>
      <w:r>
        <w:rPr>
          <w:color w:val="000000"/>
        </w:rPr>
        <w:t>La primera etapa comprende determinar si el acto de conce</w:t>
      </w:r>
      <w:r w:rsidR="002A6557">
        <w:rPr>
          <w:color w:val="000000"/>
        </w:rPr>
        <w:t>n</w:t>
      </w:r>
      <w:r>
        <w:rPr>
          <w:color w:val="000000"/>
        </w:rPr>
        <w:t>tración presentado es uno que incide en el control y para ello se recurrirá a la definición de acto de concentración tanto a nivel horizontal como vertical según las formas dispuestas en la Ley 26876</w:t>
      </w:r>
      <w:r w:rsidR="00D13320">
        <w:rPr>
          <w:color w:val="000000"/>
          <w:vertAlign w:val="superscript"/>
        </w:rPr>
        <w:footnoteReference w:id="20"/>
      </w:r>
      <w:r w:rsidR="00FB0F2E">
        <w:rPr>
          <w:color w:val="000000"/>
        </w:rPr>
        <w:t>.</w:t>
      </w:r>
      <w:r w:rsidR="00072585">
        <w:rPr>
          <w:color w:val="000000"/>
        </w:rPr>
        <w:t xml:space="preserve"> </w:t>
      </w:r>
      <w:r w:rsidR="00FB0F2E">
        <w:rPr>
          <w:color w:val="000000"/>
        </w:rPr>
        <w:lastRenderedPageBreak/>
        <w:t xml:space="preserve">¿Qué es lo relevante para este primer nivel de análisis? Identificar aquellas operaciones </w:t>
      </w:r>
      <w:r w:rsidR="00072585" w:rsidRPr="00072585">
        <w:rPr>
          <w:color w:val="000000"/>
        </w:rPr>
        <w:t>que confiera</w:t>
      </w:r>
      <w:r w:rsidR="00072585">
        <w:rPr>
          <w:color w:val="000000"/>
        </w:rPr>
        <w:t>n</w:t>
      </w:r>
      <w:r w:rsidR="00072585" w:rsidRPr="00072585">
        <w:rPr>
          <w:color w:val="000000"/>
        </w:rPr>
        <w:t xml:space="preserve"> el control directo o indirecto de una empresa</w:t>
      </w:r>
      <w:r w:rsidR="00072585">
        <w:rPr>
          <w:color w:val="000000"/>
        </w:rPr>
        <w:t xml:space="preserve"> del sector</w:t>
      </w:r>
      <w:r w:rsidR="00072585">
        <w:t xml:space="preserve">. </w:t>
      </w:r>
    </w:p>
    <w:p w:rsidR="00FB0F2E" w:rsidRDefault="00FB0F2E" w:rsidP="00FB0F2E">
      <w:pPr>
        <w:pStyle w:val="Prrafodelista"/>
        <w:spacing w:line="360" w:lineRule="auto"/>
        <w:ind w:left="360"/>
        <w:jc w:val="both"/>
        <w:rPr>
          <w:color w:val="000000"/>
        </w:rPr>
      </w:pPr>
    </w:p>
    <w:p w:rsidR="00072585" w:rsidRDefault="00FB0F2E" w:rsidP="00FB0F2E">
      <w:pPr>
        <w:pStyle w:val="Prrafodelista"/>
        <w:spacing w:line="360" w:lineRule="auto"/>
        <w:ind w:left="360"/>
        <w:jc w:val="both"/>
        <w:rPr>
          <w:color w:val="000000"/>
        </w:rPr>
      </w:pPr>
      <w:r>
        <w:rPr>
          <w:color w:val="000000"/>
        </w:rPr>
        <w:t>Acotamos</w:t>
      </w:r>
      <w:r w:rsidR="00072585" w:rsidRPr="00072585">
        <w:rPr>
          <w:color w:val="000000"/>
        </w:rPr>
        <w:t xml:space="preserve"> que la norma peruana no considera </w:t>
      </w:r>
      <w:r w:rsidR="00010870">
        <w:rPr>
          <w:color w:val="000000"/>
        </w:rPr>
        <w:t xml:space="preserve">como </w:t>
      </w:r>
      <w:r w:rsidR="00072585" w:rsidRPr="00072585">
        <w:rPr>
          <w:color w:val="000000"/>
        </w:rPr>
        <w:t xml:space="preserve">acto de concentración empresarial </w:t>
      </w:r>
      <w:r w:rsidR="00010870">
        <w:rPr>
          <w:color w:val="000000"/>
        </w:rPr>
        <w:t>e</w:t>
      </w:r>
      <w:r w:rsidR="00072585" w:rsidRPr="00072585">
        <w:rPr>
          <w:color w:val="000000"/>
        </w:rPr>
        <w:t>l crecimiento de una empresa por inversión propia o por financiamiento proveniente de recursos de terceros que no particip</w:t>
      </w:r>
      <w:r w:rsidR="00010870">
        <w:rPr>
          <w:color w:val="000000"/>
        </w:rPr>
        <w:t>e</w:t>
      </w:r>
      <w:r w:rsidR="00072585" w:rsidRPr="00072585">
        <w:rPr>
          <w:color w:val="000000"/>
        </w:rPr>
        <w:t xml:space="preserve">n directa ni indirectamente en el desarrollo de actividades del sector eléctrico. </w:t>
      </w:r>
      <w:r w:rsidR="00010870">
        <w:rPr>
          <w:color w:val="000000"/>
        </w:rPr>
        <w:t>U</w:t>
      </w:r>
      <w:r w:rsidR="00072585" w:rsidRPr="00072585">
        <w:rPr>
          <w:color w:val="000000"/>
        </w:rPr>
        <w:t xml:space="preserve">n ejemplo de dicha situación es que la autoridad de competencia, frente a la inversión de la empresa de distribución eléctrica Luz del Sur en nuevos proyectos de generación </w:t>
      </w:r>
      <w:r w:rsidR="00072585" w:rsidRPr="00010870">
        <w:rPr>
          <w:i/>
          <w:color w:val="000000"/>
        </w:rPr>
        <w:t>greenfield</w:t>
      </w:r>
      <w:r w:rsidR="00072585" w:rsidRPr="00072585">
        <w:rPr>
          <w:color w:val="000000"/>
        </w:rPr>
        <w:t xml:space="preserve">  como el de la hidroeléctrica de Santa Teresa en Cusco, no manifestó oposición en tanto no se encontraba como una operación verificable por el control de estructuras</w:t>
      </w:r>
      <w:r w:rsidR="00072585">
        <w:rPr>
          <w:vertAlign w:val="superscript"/>
        </w:rPr>
        <w:footnoteReference w:id="21"/>
      </w:r>
      <w:r w:rsidR="00072585" w:rsidRPr="00072585">
        <w:rPr>
          <w:color w:val="000000"/>
        </w:rPr>
        <w:t xml:space="preserve">.   </w:t>
      </w:r>
    </w:p>
    <w:p w:rsidR="00072585" w:rsidRDefault="00072585" w:rsidP="00D936C4">
      <w:pPr>
        <w:pStyle w:val="Prrafodelista"/>
        <w:spacing w:line="360" w:lineRule="auto"/>
        <w:jc w:val="both"/>
        <w:rPr>
          <w:color w:val="000000"/>
        </w:rPr>
      </w:pPr>
    </w:p>
    <w:p w:rsidR="002355F1" w:rsidRPr="00072585" w:rsidRDefault="00010870" w:rsidP="00D936C4">
      <w:pPr>
        <w:pStyle w:val="Prrafodelista"/>
        <w:spacing w:line="360" w:lineRule="auto"/>
        <w:ind w:left="360"/>
        <w:jc w:val="both"/>
        <w:rPr>
          <w:color w:val="000000"/>
        </w:rPr>
      </w:pPr>
      <w:r>
        <w:rPr>
          <w:color w:val="000000"/>
        </w:rPr>
        <w:t xml:space="preserve">Sobre los actos verificables por la autoridad de competencia están aquellos actos que ocurren en el nivel horizontal o vertical del mercado eléctrico. </w:t>
      </w:r>
      <w:r w:rsidR="000A1019" w:rsidRPr="00072585">
        <w:rPr>
          <w:color w:val="000000"/>
        </w:rPr>
        <w:t>L</w:t>
      </w:r>
      <w:r w:rsidR="005A478B" w:rsidRPr="00072585">
        <w:rPr>
          <w:color w:val="000000"/>
        </w:rPr>
        <w:t>os actos de concentración vertical en la Ley 26876 son aquellos que involucran a dos o más agentes que realizan sus actividades económicas en diferentes niveles de la cadena productiva. Una situación que sirve como ejemplo es si un grupo económico propietario de una empresa de generación eléctrica adquiere el control de una empresa de distribución eléctrica. Por otr</w:t>
      </w:r>
      <w:r w:rsidR="005A478B">
        <w:t>a parte</w:t>
      </w:r>
      <w:r w:rsidR="005A478B" w:rsidRPr="00072585">
        <w:rPr>
          <w:color w:val="000000"/>
        </w:rPr>
        <w:t>, los actos de concentración horizontal son aquellos que involucran a dos o más empresas que realizan sus actividades económicas en un mismo nivel de la cadena productiva, siendo el caso si un grupo económico propietario de una empresa de generación eléctrica adquiere el control de otra empresa de generación eléctrica.</w:t>
      </w:r>
    </w:p>
    <w:p w:rsidR="000A1019" w:rsidRDefault="000A1019" w:rsidP="00D936C4">
      <w:pPr>
        <w:pStyle w:val="Prrafodelista"/>
        <w:spacing w:line="360" w:lineRule="auto"/>
        <w:jc w:val="both"/>
        <w:rPr>
          <w:color w:val="000000"/>
        </w:rPr>
      </w:pPr>
    </w:p>
    <w:p w:rsidR="000A1019" w:rsidRDefault="00010870" w:rsidP="00D936C4">
      <w:pPr>
        <w:pStyle w:val="Prrafodelista"/>
        <w:spacing w:line="360" w:lineRule="auto"/>
        <w:ind w:left="360"/>
        <w:jc w:val="both"/>
        <w:rPr>
          <w:color w:val="000000"/>
        </w:rPr>
      </w:pPr>
      <w:r>
        <w:rPr>
          <w:color w:val="000000"/>
        </w:rPr>
        <w:lastRenderedPageBreak/>
        <w:t>Acto seguido, este nivel de análisis también requiere estudiar</w:t>
      </w:r>
      <w:r w:rsidR="000A1019">
        <w:rPr>
          <w:color w:val="000000"/>
        </w:rPr>
        <w:t xml:space="preserve"> los umbrales dispuestos en el artículo 3 de la Ley 26876</w:t>
      </w:r>
      <w:r w:rsidR="0003469F">
        <w:rPr>
          <w:color w:val="000000"/>
          <w:vertAlign w:val="superscript"/>
        </w:rPr>
        <w:footnoteReference w:id="22"/>
      </w:r>
      <w:r w:rsidR="000A1019">
        <w:rPr>
          <w:color w:val="000000"/>
        </w:rPr>
        <w:t>,</w:t>
      </w:r>
      <w:r>
        <w:rPr>
          <w:color w:val="000000"/>
        </w:rPr>
        <w:t xml:space="preserve"> como es el porcentaje de </w:t>
      </w:r>
      <w:r w:rsidR="000A1019">
        <w:rPr>
          <w:color w:val="000000"/>
        </w:rPr>
        <w:t>participación en el mercado de los interesados</w:t>
      </w:r>
      <w:r>
        <w:rPr>
          <w:color w:val="000000"/>
        </w:rPr>
        <w:t>. Este umbral representa un criterio</w:t>
      </w:r>
      <w:r w:rsidR="000A1019">
        <w:rPr>
          <w:color w:val="000000"/>
        </w:rPr>
        <w:t xml:space="preserve"> </w:t>
      </w:r>
      <w:r>
        <w:rPr>
          <w:color w:val="000000"/>
        </w:rPr>
        <w:t>objetivo</w:t>
      </w:r>
      <w:r w:rsidR="000A1019">
        <w:rPr>
          <w:color w:val="000000"/>
        </w:rPr>
        <w:t xml:space="preserve"> y cuantificable</w:t>
      </w:r>
      <w:r>
        <w:rPr>
          <w:color w:val="000000"/>
        </w:rPr>
        <w:t xml:space="preserve"> </w:t>
      </w:r>
      <w:r w:rsidR="002A75B5">
        <w:rPr>
          <w:color w:val="000000"/>
        </w:rPr>
        <w:t xml:space="preserve">que permite concluir </w:t>
      </w:r>
      <w:r w:rsidR="000A1019">
        <w:rPr>
          <w:color w:val="000000"/>
        </w:rPr>
        <w:t>con el análisis de procedencia sobre la Solicitud</w:t>
      </w:r>
      <w:r w:rsidR="002A75B5">
        <w:rPr>
          <w:color w:val="000000"/>
        </w:rPr>
        <w:t xml:space="preserve">. Es importante añadir que en el caso particular del sector eléctrico, este umbral </w:t>
      </w:r>
      <w:r>
        <w:rPr>
          <w:color w:val="000000"/>
        </w:rPr>
        <w:t>no ha sido objeto de críticas pues</w:t>
      </w:r>
      <w:r w:rsidR="002A75B5">
        <w:rPr>
          <w:color w:val="000000"/>
        </w:rPr>
        <w:t xml:space="preserve"> nos encontramos frente a</w:t>
      </w:r>
      <w:r>
        <w:rPr>
          <w:color w:val="000000"/>
        </w:rPr>
        <w:t>l mercado eléctrico</w:t>
      </w:r>
      <w:r w:rsidR="000A1019">
        <w:rPr>
          <w:color w:val="000000"/>
        </w:rPr>
        <w:t xml:space="preserve"> regulado por Osinergmin,</w:t>
      </w:r>
      <w:r w:rsidR="002A75B5">
        <w:rPr>
          <w:color w:val="000000"/>
        </w:rPr>
        <w:t xml:space="preserve"> que cuenta con información precisa y medible sobre la participación de los agentes en el mercado. </w:t>
      </w:r>
      <w:r w:rsidR="000A1019">
        <w:rPr>
          <w:color w:val="000000"/>
        </w:rPr>
        <w:t xml:space="preserve"> </w:t>
      </w:r>
    </w:p>
    <w:p w:rsidR="00072585" w:rsidRPr="000A1019" w:rsidRDefault="00072585" w:rsidP="00D936C4">
      <w:pPr>
        <w:spacing w:line="360" w:lineRule="auto"/>
        <w:jc w:val="both"/>
        <w:rPr>
          <w:color w:val="000000"/>
        </w:rPr>
      </w:pPr>
    </w:p>
    <w:p w:rsidR="000A1019" w:rsidRPr="000A1019" w:rsidRDefault="00072585" w:rsidP="00D936C4">
      <w:pPr>
        <w:pStyle w:val="Prrafodelista"/>
        <w:numPr>
          <w:ilvl w:val="0"/>
          <w:numId w:val="27"/>
        </w:numPr>
        <w:spacing w:line="360" w:lineRule="auto"/>
        <w:jc w:val="both"/>
        <w:rPr>
          <w:color w:val="000000"/>
        </w:rPr>
      </w:pPr>
      <w:r>
        <w:rPr>
          <w:color w:val="000000"/>
        </w:rPr>
        <w:t xml:space="preserve">La segunda etapa comprende los </w:t>
      </w:r>
      <w:r>
        <w:t>análisis de los efectos de la operación en los mercados relevantes en el sector eléctrico en los cuales se analiza, a través de herramientas económicas, las posibles alteraciones a los niveles de concentración</w:t>
      </w:r>
      <w:r w:rsidR="006A0EE0">
        <w:t xml:space="preserve"> y como este acto que incide en la estructura de control de determinado agente económico del sector eléctrico, no representa un daño, perjuicio o representa una pérdida de eficiencia en las actividades del sector regulado.</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Debemos señalar que el artículo 9 de la Ley 26876 recoge la teoría de los efectos</w:t>
      </w:r>
      <w:r>
        <w:rPr>
          <w:color w:val="000000"/>
          <w:vertAlign w:val="superscript"/>
        </w:rPr>
        <w:footnoteReference w:id="23"/>
      </w:r>
      <w:r>
        <w:rPr>
          <w:color w:val="000000"/>
        </w:rPr>
        <w:t xml:space="preserve">, en virtud de la cual se encuentran comprendidos dentro de su ámbito de aplicación: los actos de concentración empresarial cuyos efectos involucren a empresas que directa o indirectamente </w:t>
      </w:r>
      <w:r>
        <w:rPr>
          <w:color w:val="000000"/>
        </w:rPr>
        <w:lastRenderedPageBreak/>
        <w:t xml:space="preserve">realicen actividades de generación, transmisión o distribución de energía eléctrica en el territorio peruano, aun cuando se ejecuten en el extranjero. </w:t>
      </w:r>
    </w:p>
    <w:p w:rsidR="002355F1" w:rsidRDefault="002355F1" w:rsidP="00D936C4">
      <w:pPr>
        <w:spacing w:line="360" w:lineRule="auto"/>
        <w:jc w:val="both"/>
        <w:rPr>
          <w:color w:val="000000"/>
        </w:rPr>
      </w:pPr>
    </w:p>
    <w:p w:rsidR="00E53C56" w:rsidRDefault="00E53C56" w:rsidP="00D936C4">
      <w:pPr>
        <w:spacing w:line="360" w:lineRule="auto"/>
        <w:jc w:val="both"/>
        <w:rPr>
          <w:color w:val="000000"/>
        </w:rPr>
      </w:pPr>
      <w:r>
        <w:rPr>
          <w:color w:val="000000"/>
        </w:rPr>
        <w:t>Los pasos descritos tienen como objetivo verificar si la operación propuesta implica la</w:t>
      </w:r>
      <w:r w:rsidR="005A478B">
        <w:rPr>
          <w:color w:val="000000"/>
        </w:rPr>
        <w:t xml:space="preserve"> </w:t>
      </w:r>
      <w:r w:rsidR="005A478B">
        <w:rPr>
          <w:b/>
          <w:color w:val="000000"/>
        </w:rPr>
        <w:t xml:space="preserve">adquisición de control o la modificación en la estructura de control de una empresa </w:t>
      </w:r>
      <w:r w:rsidR="005A478B">
        <w:rPr>
          <w:color w:val="000000"/>
        </w:rPr>
        <w:t>que realiza actividades en el sector eléctrico.</w:t>
      </w:r>
    </w:p>
    <w:p w:rsidR="002355F1" w:rsidRDefault="00545B6B" w:rsidP="00123ED2">
      <w:pPr>
        <w:pStyle w:val="Ttulo3"/>
        <w:numPr>
          <w:ilvl w:val="2"/>
          <w:numId w:val="3"/>
        </w:numPr>
        <w:spacing w:line="360" w:lineRule="auto"/>
        <w:rPr>
          <w:color w:val="000000"/>
          <w:sz w:val="24"/>
          <w:szCs w:val="24"/>
        </w:rPr>
      </w:pPr>
      <w:bookmarkStart w:id="33" w:name="_Toc47387740"/>
      <w:r>
        <w:rPr>
          <w:color w:val="000000"/>
          <w:sz w:val="24"/>
          <w:szCs w:val="24"/>
        </w:rPr>
        <w:t>¿Qué entendemos por control?</w:t>
      </w:r>
      <w:bookmarkEnd w:id="33"/>
    </w:p>
    <w:p w:rsidR="002355F1" w:rsidRDefault="005A478B" w:rsidP="00D936C4">
      <w:pPr>
        <w:spacing w:line="360" w:lineRule="auto"/>
        <w:jc w:val="both"/>
        <w:rPr>
          <w:color w:val="000000"/>
        </w:rPr>
      </w:pPr>
      <w:r>
        <w:rPr>
          <w:color w:val="000000"/>
        </w:rPr>
        <w:t xml:space="preserve">Para evaluar los efectos que genera una operación entre agentes que realicen actividades en el mercado eléctrico nacional y sin perjuicio de que las operaciones puedan ser de fusión o adquisición, es necesario concluir de manera previa al análisis </w:t>
      </w:r>
      <w:r w:rsidR="006A0EE0">
        <w:rPr>
          <w:color w:val="000000"/>
        </w:rPr>
        <w:t xml:space="preserve">de fondo, </w:t>
      </w:r>
      <w:r>
        <w:rPr>
          <w:color w:val="000000"/>
        </w:rPr>
        <w:t>si dicha operación puede producir una modificación en la estructura de control de las empresas participantes. El cambio en la estructura de control es fundamental en la medida en que, de no existir dicho cambio, la operación efectuada no tendría repercusión en las condiciones de competencia en el mercado peruano.</w:t>
      </w:r>
    </w:p>
    <w:p w:rsidR="002355F1" w:rsidRDefault="002355F1" w:rsidP="00D936C4">
      <w:pPr>
        <w:spacing w:line="360" w:lineRule="auto"/>
        <w:jc w:val="both"/>
        <w:rPr>
          <w:color w:val="000000"/>
        </w:rPr>
      </w:pPr>
    </w:p>
    <w:p w:rsidR="002355F1" w:rsidRDefault="006D0036" w:rsidP="00D936C4">
      <w:pPr>
        <w:spacing w:line="360" w:lineRule="auto"/>
        <w:jc w:val="both"/>
        <w:rPr>
          <w:color w:val="000000"/>
        </w:rPr>
      </w:pPr>
      <w:r>
        <w:rPr>
          <w:color w:val="000000"/>
        </w:rPr>
        <w:t>Por l</w:t>
      </w:r>
      <w:r w:rsidR="005A478B">
        <w:rPr>
          <w:color w:val="000000"/>
        </w:rPr>
        <w:t xml:space="preserve">a </w:t>
      </w:r>
      <w:r>
        <w:rPr>
          <w:color w:val="000000"/>
        </w:rPr>
        <w:t>Resolución SBS 5780-2015 de la Superintendencia de Banca, Seguros y AFP</w:t>
      </w:r>
      <w:r>
        <w:rPr>
          <w:color w:val="000000"/>
          <w:vertAlign w:val="superscript"/>
        </w:rPr>
        <w:footnoteReference w:id="24"/>
      </w:r>
      <w:r>
        <w:rPr>
          <w:color w:val="000000"/>
        </w:rPr>
        <w:t xml:space="preserve">, según el literal h) del artículo 2 del Reglamento de la Ley 26876, </w:t>
      </w:r>
      <w:r w:rsidR="005A478B">
        <w:rPr>
          <w:color w:val="000000"/>
        </w:rPr>
        <w:t>se considera control a la influencia preponderante y continua en la toma de decisiones de los órganos de gobierno de una persona jurídica</w:t>
      </w:r>
      <w:r>
        <w:rPr>
          <w:color w:val="000000"/>
        </w:rPr>
        <w:t xml:space="preserve"> de forma directa o indirecta</w:t>
      </w:r>
      <w:r w:rsidR="005A478B">
        <w:rPr>
          <w:color w:val="000000"/>
        </w:rPr>
        <w:t xml:space="preserve">. Ahora bien, para efectos del análisis de competencia, se considera que dicha influencia preponderante y continua debe recaer sobre </w:t>
      </w:r>
      <w:r w:rsidR="005A478B">
        <w:rPr>
          <w:color w:val="000000"/>
          <w:u w:val="single"/>
        </w:rPr>
        <w:t>decisiones que tengan incidencia sobre la estrategia competitiva de una empresa</w:t>
      </w:r>
      <w:r>
        <w:rPr>
          <w:color w:val="000000"/>
          <w:vertAlign w:val="superscript"/>
        </w:rPr>
        <w:footnoteReference w:id="25"/>
      </w:r>
      <w:r w:rsidR="005A478B">
        <w:rPr>
          <w:color w:val="000000"/>
        </w:rPr>
        <w:t xml:space="preserve">.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El control</w:t>
      </w:r>
      <w:r w:rsidR="00545B6B">
        <w:rPr>
          <w:color w:val="000000"/>
        </w:rPr>
        <w:t xml:space="preserve"> </w:t>
      </w:r>
      <w:r>
        <w:rPr>
          <w:color w:val="000000"/>
        </w:rPr>
        <w:t xml:space="preserve">puede ser i) control exclusivo o ii) control conjunto. El caso que nos ocupa es un paso de control conjunto a control exclusivo </w:t>
      </w:r>
      <w:r w:rsidR="00D438A7">
        <w:rPr>
          <w:color w:val="000000"/>
        </w:rPr>
        <w:t>sobre</w:t>
      </w:r>
      <w:r>
        <w:rPr>
          <w:color w:val="000000"/>
        </w:rPr>
        <w:t xml:space="preserve"> Endesa. </w:t>
      </w:r>
      <w:r w:rsidR="00D438A7">
        <w:rPr>
          <w:color w:val="000000"/>
        </w:rPr>
        <w:t>Desarrollemos: e</w:t>
      </w:r>
      <w:r>
        <w:rPr>
          <w:color w:val="000000"/>
        </w:rPr>
        <w:t xml:space="preserve">l control conjunto implicaba que </w:t>
      </w:r>
      <w:r w:rsidR="00D438A7">
        <w:rPr>
          <w:color w:val="000000"/>
        </w:rPr>
        <w:t>la empresa A</w:t>
      </w:r>
      <w:r>
        <w:rPr>
          <w:color w:val="000000"/>
        </w:rPr>
        <w:t xml:space="preserve"> (</w:t>
      </w:r>
      <w:r w:rsidR="00D438A7">
        <w:rPr>
          <w:color w:val="000000"/>
        </w:rPr>
        <w:t xml:space="preserve">en el caso, </w:t>
      </w:r>
      <w:r>
        <w:rPr>
          <w:color w:val="000000"/>
        </w:rPr>
        <w:t xml:space="preserve">Endesa) se encontraba sometida a la </w:t>
      </w:r>
      <w:r>
        <w:rPr>
          <w:color w:val="000000"/>
        </w:rPr>
        <w:lastRenderedPageBreak/>
        <w:t>voluntad de una pluralidad de agentes (Acciona y Enel)</w:t>
      </w:r>
      <w:r w:rsidR="00D438A7">
        <w:rPr>
          <w:color w:val="000000"/>
        </w:rPr>
        <w:t xml:space="preserve">. Con el control conjunto, </w:t>
      </w:r>
      <w:r>
        <w:rPr>
          <w:color w:val="000000"/>
        </w:rPr>
        <w:t xml:space="preserve">Acciona </w:t>
      </w:r>
      <w:r w:rsidR="00D438A7">
        <w:rPr>
          <w:color w:val="000000"/>
        </w:rPr>
        <w:t>y</w:t>
      </w:r>
      <w:r>
        <w:rPr>
          <w:color w:val="000000"/>
        </w:rPr>
        <w:t xml:space="preserve"> Enel </w:t>
      </w:r>
      <w:r w:rsidR="00D438A7">
        <w:rPr>
          <w:color w:val="000000"/>
        </w:rPr>
        <w:t xml:space="preserve">no podían </w:t>
      </w:r>
      <w:r>
        <w:rPr>
          <w:color w:val="000000"/>
        </w:rPr>
        <w:t>por si solos ten</w:t>
      </w:r>
      <w:r w:rsidR="00D438A7">
        <w:rPr>
          <w:color w:val="000000"/>
        </w:rPr>
        <w:t>er</w:t>
      </w:r>
      <w:r>
        <w:rPr>
          <w:color w:val="000000"/>
        </w:rPr>
        <w:t xml:space="preserve"> una influencia exclusiva o determinante</w:t>
      </w:r>
      <w:r w:rsidR="00D438A7">
        <w:rPr>
          <w:color w:val="000000"/>
        </w:rPr>
        <w:t xml:space="preserve"> sobre el desempeño competitivo de Endesa</w:t>
      </w:r>
      <w:r>
        <w:rPr>
          <w:color w:val="000000"/>
        </w:rPr>
        <w:t>. Sin embargo, por la transferencia de acciones sobre Endesa de Acciona a Enel</w:t>
      </w:r>
      <w:r w:rsidR="00D438A7">
        <w:rPr>
          <w:color w:val="000000"/>
        </w:rPr>
        <w:t>, se configuró un cambio de control sobre Endesa pasando a ser de control exclusivo de Enel. Bajo el control exclusivo, un solo agente (en el caso, Enel)</w:t>
      </w:r>
      <w:r>
        <w:rPr>
          <w:color w:val="000000"/>
        </w:rPr>
        <w:t xml:space="preserve"> pued</w:t>
      </w:r>
      <w:r w:rsidR="00D438A7">
        <w:rPr>
          <w:color w:val="000000"/>
        </w:rPr>
        <w:t>e</w:t>
      </w:r>
      <w:r>
        <w:rPr>
          <w:color w:val="000000"/>
        </w:rPr>
        <w:t xml:space="preserve"> ejercer individualmente y unilateralmente una influencia decisiva en el desempeño competitivo de la empresa (Endesa), sin requerir para ello de otros factores o voluntades. </w:t>
      </w:r>
    </w:p>
    <w:p w:rsidR="002355F1" w:rsidRPr="000F6FB8" w:rsidRDefault="002355F1" w:rsidP="00D936C4">
      <w:pPr>
        <w:pBdr>
          <w:top w:val="nil"/>
          <w:left w:val="nil"/>
          <w:bottom w:val="nil"/>
          <w:right w:val="nil"/>
          <w:between w:val="nil"/>
        </w:pBdr>
        <w:spacing w:line="360" w:lineRule="auto"/>
        <w:jc w:val="both"/>
      </w:pPr>
    </w:p>
    <w:p w:rsidR="002355F1" w:rsidRPr="000F6FB8" w:rsidRDefault="005A478B" w:rsidP="000F6FB8">
      <w:pPr>
        <w:pStyle w:val="Ttulo3"/>
        <w:numPr>
          <w:ilvl w:val="2"/>
          <w:numId w:val="3"/>
        </w:numPr>
        <w:rPr>
          <w:sz w:val="24"/>
          <w:szCs w:val="24"/>
        </w:rPr>
      </w:pPr>
      <w:bookmarkStart w:id="34" w:name="_Toc47387741"/>
      <w:r w:rsidRPr="000F6FB8">
        <w:rPr>
          <w:sz w:val="24"/>
          <w:szCs w:val="24"/>
        </w:rPr>
        <w:t>Las herramientas del control</w:t>
      </w:r>
      <w:r w:rsidR="000F6FB8" w:rsidRPr="000F6FB8">
        <w:rPr>
          <w:sz w:val="24"/>
          <w:szCs w:val="24"/>
        </w:rPr>
        <w:t xml:space="preserve"> previo</w:t>
      </w:r>
      <w:r w:rsidRPr="000F6FB8">
        <w:rPr>
          <w:sz w:val="24"/>
          <w:szCs w:val="24"/>
        </w:rPr>
        <w:t>: notificación y suspensión</w:t>
      </w:r>
      <w:r w:rsidR="000F6FB8" w:rsidRPr="000F6FB8">
        <w:rPr>
          <w:sz w:val="24"/>
          <w:szCs w:val="24"/>
        </w:rPr>
        <w:t>.</w:t>
      </w:r>
      <w:bookmarkEnd w:id="34"/>
    </w:p>
    <w:p w:rsidR="002355F1" w:rsidRDefault="002355F1" w:rsidP="00D936C4">
      <w:pPr>
        <w:spacing w:line="360" w:lineRule="auto"/>
        <w:jc w:val="both"/>
      </w:pPr>
    </w:p>
    <w:p w:rsidR="002355F1" w:rsidRDefault="005A478B" w:rsidP="00D936C4">
      <w:pPr>
        <w:spacing w:line="360" w:lineRule="auto"/>
        <w:jc w:val="both"/>
        <w:rPr>
          <w:color w:val="000000"/>
        </w:rPr>
      </w:pPr>
      <w:r>
        <w:rPr>
          <w:color w:val="000000"/>
        </w:rPr>
        <w:t xml:space="preserve">Para garantizar la realización de este control, </w:t>
      </w:r>
      <w:r w:rsidR="006A0EE0">
        <w:rPr>
          <w:color w:val="000000"/>
        </w:rPr>
        <w:t>según el artículo 3 de la Ley 26876</w:t>
      </w:r>
      <w:r>
        <w:rPr>
          <w:color w:val="000000"/>
        </w:rPr>
        <w:t>, dos son los mínimos indispensables que aseguran la eficacia de la herramienta de control: (i) la obligación de notificar el acto de forma previa a la concentración y (ii) la prohibición legal de no perfeccionar o suspender la operación hasta el pronunciamiento de la autoridad de competencia.</w:t>
      </w:r>
    </w:p>
    <w:p w:rsidR="009E57B3" w:rsidRPr="000A7F18" w:rsidRDefault="009E57B3" w:rsidP="00D936C4">
      <w:pPr>
        <w:spacing w:line="360" w:lineRule="auto"/>
        <w:jc w:val="both"/>
        <w:rPr>
          <w:color w:val="000000"/>
          <w:sz w:val="20"/>
          <w:szCs w:val="20"/>
        </w:rPr>
      </w:pPr>
    </w:p>
    <w:p w:rsidR="002355F1" w:rsidRDefault="005A478B" w:rsidP="00D936C4">
      <w:pPr>
        <w:spacing w:line="360" w:lineRule="auto"/>
        <w:jc w:val="both"/>
        <w:rPr>
          <w:color w:val="000000"/>
        </w:rPr>
      </w:pPr>
      <w:r>
        <w:rPr>
          <w:color w:val="000000"/>
        </w:rPr>
        <w:t>Es así que la obligación de notificar como instrumento preventivo comprende poner a disposición de la autoridad de manera previa al cierre de la operación toda la información relevante de la operación de concentración que le permita evaluar y promover la defensa de la competencia. Como referencia en sistemas comparados, la Comisión Federal de Competencia Económica de México en el artículo 87 de la Ley Federal de Competencia Económica prevé que dicha notificación o acto del privado de informar a la autoridad sobre la operación debe ser realizada antes de los siguientes hechos:</w:t>
      </w:r>
    </w:p>
    <w:p w:rsidR="002355F1" w:rsidRPr="00324395" w:rsidRDefault="005A478B" w:rsidP="00D936C4">
      <w:pPr>
        <w:spacing w:line="360" w:lineRule="auto"/>
        <w:ind w:left="720"/>
        <w:jc w:val="both"/>
        <w:rPr>
          <w:b/>
          <w:color w:val="000000"/>
          <w:sz w:val="20"/>
          <w:szCs w:val="20"/>
        </w:rPr>
      </w:pPr>
      <w:r>
        <w:rPr>
          <w:color w:val="000000"/>
          <w:sz w:val="22"/>
          <w:szCs w:val="22"/>
        </w:rPr>
        <w:br/>
      </w:r>
      <w:r w:rsidRPr="00324395">
        <w:rPr>
          <w:b/>
          <w:color w:val="000000"/>
          <w:sz w:val="20"/>
          <w:szCs w:val="20"/>
        </w:rPr>
        <w:t>Ley Federal de Competencia Económica</w:t>
      </w:r>
    </w:p>
    <w:p w:rsidR="002355F1" w:rsidRPr="00324395" w:rsidRDefault="005A478B" w:rsidP="00D936C4">
      <w:pPr>
        <w:spacing w:line="360" w:lineRule="auto"/>
        <w:ind w:left="720"/>
        <w:jc w:val="both"/>
        <w:rPr>
          <w:color w:val="000000"/>
          <w:sz w:val="20"/>
          <w:szCs w:val="20"/>
        </w:rPr>
      </w:pPr>
      <w:r w:rsidRPr="00324395">
        <w:rPr>
          <w:color w:val="000000"/>
          <w:sz w:val="20"/>
          <w:szCs w:val="20"/>
        </w:rPr>
        <w:t xml:space="preserve">Artículo 87.- </w:t>
      </w:r>
      <w:r w:rsidR="00145AB1">
        <w:rPr>
          <w:color w:val="000000"/>
          <w:sz w:val="20"/>
          <w:szCs w:val="20"/>
        </w:rPr>
        <w:t xml:space="preserve"> </w:t>
      </w:r>
      <w:r w:rsidRPr="00324395">
        <w:rPr>
          <w:color w:val="000000"/>
          <w:sz w:val="20"/>
          <w:szCs w:val="20"/>
        </w:rPr>
        <w:t>I. El acto jurídico se perfeccione de conformidad con la legislación aplicable o, en su caso, se cumpla la condición suspensiva a la que esté sujeto dicho acto;</w:t>
      </w:r>
      <w:r w:rsidR="00145AB1">
        <w:rPr>
          <w:color w:val="000000"/>
          <w:sz w:val="20"/>
          <w:szCs w:val="20"/>
        </w:rPr>
        <w:t xml:space="preserve"> </w:t>
      </w:r>
      <w:r w:rsidRPr="00324395">
        <w:rPr>
          <w:color w:val="000000"/>
          <w:sz w:val="20"/>
          <w:szCs w:val="20"/>
        </w:rPr>
        <w:t>II. Se adquiera o se ejerza directa o indirectamente el control de hecho o de derecho sobre otro Agente Económico, o se adquieran de hecho o de derecho activos, participación en fideicomisos,partes sociales o acciones de otro Agente Económico;</w:t>
      </w:r>
      <w:r w:rsidR="00145AB1">
        <w:rPr>
          <w:color w:val="000000"/>
          <w:sz w:val="20"/>
          <w:szCs w:val="20"/>
        </w:rPr>
        <w:t xml:space="preserve"> </w:t>
      </w:r>
      <w:r w:rsidRPr="00324395">
        <w:rPr>
          <w:color w:val="000000"/>
          <w:sz w:val="20"/>
          <w:szCs w:val="20"/>
        </w:rPr>
        <w:t>III. Se lleve al cabo la firma de un convenio de fusión entre los Agentes Económicos involucrados, o</w:t>
      </w:r>
      <w:r w:rsidR="00145AB1">
        <w:rPr>
          <w:color w:val="000000"/>
          <w:sz w:val="20"/>
          <w:szCs w:val="20"/>
        </w:rPr>
        <w:t xml:space="preserve"> </w:t>
      </w:r>
      <w:r w:rsidRPr="00324395">
        <w:rPr>
          <w:color w:val="000000"/>
          <w:sz w:val="20"/>
          <w:szCs w:val="20"/>
        </w:rPr>
        <w:t>IV. Tratándose de una sucesión de actos, se perfeccione el último de ellos, por virtud del cual se rebasen los montos establecidos en el artículo anterior.</w:t>
      </w:r>
    </w:p>
    <w:p w:rsidR="002355F1" w:rsidRDefault="002355F1" w:rsidP="00D936C4">
      <w:pPr>
        <w:spacing w:line="360" w:lineRule="auto"/>
        <w:ind w:left="720"/>
        <w:jc w:val="both"/>
        <w:rPr>
          <w:color w:val="000000"/>
          <w:sz w:val="22"/>
          <w:szCs w:val="22"/>
        </w:rPr>
      </w:pPr>
    </w:p>
    <w:p w:rsidR="002355F1" w:rsidRDefault="005A478B" w:rsidP="00D936C4">
      <w:pPr>
        <w:spacing w:line="360" w:lineRule="auto"/>
        <w:jc w:val="both"/>
        <w:rPr>
          <w:color w:val="000000"/>
        </w:rPr>
      </w:pPr>
      <w:r>
        <w:rPr>
          <w:color w:val="000000"/>
        </w:rPr>
        <w:t xml:space="preserve">La notificación de los actos previstos como notificables por la norma de control de concentraciones tiene carácter </w:t>
      </w:r>
      <w:r>
        <w:rPr>
          <w:color w:val="000000"/>
          <w:u w:val="single"/>
        </w:rPr>
        <w:t>obligatorio</w:t>
      </w:r>
      <w:r>
        <w:rPr>
          <w:color w:val="000000"/>
        </w:rPr>
        <w:t xml:space="preserve"> en el sistema peruano. Aún más, el incumplimiento de dicha obligación tiene naturaleza de infracción </w:t>
      </w:r>
      <w:r w:rsidR="005875EA">
        <w:rPr>
          <w:color w:val="000000"/>
        </w:rPr>
        <w:t xml:space="preserve">dado que </w:t>
      </w:r>
      <w:r>
        <w:rPr>
          <w:color w:val="000000"/>
        </w:rPr>
        <w:t xml:space="preserve">afecta de forma directa una de las herramientas del control para que este sea efectivo, poner en conocimiento de la autoridad. Es así que esta notificación constituye una carga para el o los agentes económicos que deseen operar en el mercado, el cual deberá considerar la disposición de información a la autoridad de forma previa a la operación.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La obligación de suspensión, por otro lado, actúa de forma complementaria a la obligación de notificar, pues busca garantizar que los agentes económicos involucrados no procedan a cerrar el acto de concentración sin antes haber recibido el pronunciamiento expreso de la autoridad autorizando u autorizando con condiciones la operación propuesta mediante la notificación.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Como la OECD precisa sobre el marco de </w:t>
      </w:r>
      <w:r>
        <w:t xml:space="preserve">concentraciones de </w:t>
      </w:r>
      <w:r>
        <w:rPr>
          <w:color w:val="000000"/>
        </w:rPr>
        <w:t xml:space="preserve">la Comisión Europea: “The duty to notify is complemented by the so-called standstill obligation. </w:t>
      </w:r>
      <w:r w:rsidRPr="005A478B">
        <w:rPr>
          <w:color w:val="000000"/>
          <w:lang w:val="en-US"/>
        </w:rPr>
        <w:t>This obligation entails that parties may not implement a concentration before the Commission has declared the concentration compatible with the common market, i.e. approved it” (</w:t>
      </w:r>
      <w:r w:rsidRPr="005A478B">
        <w:rPr>
          <w:lang w:val="en-US"/>
        </w:rPr>
        <w:t>OECD</w:t>
      </w:r>
      <w:r w:rsidRPr="005A478B">
        <w:rPr>
          <w:color w:val="000000"/>
          <w:lang w:val="en-US"/>
        </w:rPr>
        <w:t xml:space="preserve"> 2018:2). </w:t>
      </w:r>
      <w:r>
        <w:rPr>
          <w:color w:val="000000"/>
        </w:rPr>
        <w:t xml:space="preserve">En esa línea, la normativa peruana de control de concentraciones </w:t>
      </w:r>
      <w:r>
        <w:t>dispone sobre</w:t>
      </w:r>
      <w:r>
        <w:rPr>
          <w:color w:val="000000"/>
        </w:rPr>
        <w:t xml:space="preserve"> la obligación de suspensión que, en caso los agentes decidan </w:t>
      </w:r>
      <w:r>
        <w:t>hacer caso omiso a la obligación</w:t>
      </w:r>
      <w:r>
        <w:rPr>
          <w:color w:val="000000"/>
        </w:rPr>
        <w:t>, la operación realizada se</w:t>
      </w:r>
      <w:r>
        <w:t>rá</w:t>
      </w:r>
      <w:r>
        <w:rPr>
          <w:color w:val="000000"/>
        </w:rPr>
        <w:t xml:space="preserve"> considerada como una sin efectos para el mercado eléctrico peruano, ello aunado a la sanción a los agentes económicos por proceder de forma contraria a la obligación establecida.   </w:t>
      </w:r>
    </w:p>
    <w:p w:rsidR="002355F1" w:rsidRDefault="005A478B" w:rsidP="00123ED2">
      <w:pPr>
        <w:pStyle w:val="Ttulo3"/>
        <w:numPr>
          <w:ilvl w:val="2"/>
          <w:numId w:val="3"/>
        </w:numPr>
        <w:spacing w:line="360" w:lineRule="auto"/>
        <w:rPr>
          <w:color w:val="000000"/>
          <w:sz w:val="24"/>
          <w:szCs w:val="24"/>
        </w:rPr>
      </w:pPr>
      <w:r>
        <w:rPr>
          <w:color w:val="000000"/>
          <w:sz w:val="24"/>
          <w:szCs w:val="24"/>
        </w:rPr>
        <w:t xml:space="preserve"> </w:t>
      </w:r>
      <w:bookmarkStart w:id="35" w:name="_Toc47387742"/>
      <w:r>
        <w:rPr>
          <w:color w:val="000000"/>
          <w:sz w:val="24"/>
          <w:szCs w:val="24"/>
        </w:rPr>
        <w:t xml:space="preserve">Infracción a la obligación de suspensión: </w:t>
      </w:r>
      <w:r w:rsidRPr="000F6FB8">
        <w:rPr>
          <w:i/>
          <w:color w:val="000000"/>
          <w:sz w:val="24"/>
          <w:szCs w:val="24"/>
        </w:rPr>
        <w:t>gun jumping</w:t>
      </w:r>
      <w:r>
        <w:rPr>
          <w:color w:val="000000"/>
          <w:sz w:val="24"/>
          <w:szCs w:val="24"/>
        </w:rPr>
        <w:t xml:space="preserve"> o cierre anticipado  en el control de concentraciones.</w:t>
      </w:r>
      <w:bookmarkEnd w:id="35"/>
    </w:p>
    <w:p w:rsidR="002355F1" w:rsidRDefault="005A478B" w:rsidP="00D936C4">
      <w:pPr>
        <w:spacing w:line="360" w:lineRule="auto"/>
        <w:jc w:val="both"/>
        <w:rPr>
          <w:color w:val="000000"/>
        </w:rPr>
      </w:pPr>
      <w:r>
        <w:rPr>
          <w:color w:val="000000"/>
        </w:rPr>
        <w:t xml:space="preserve">La transgresión a </w:t>
      </w:r>
      <w:r w:rsidR="006A0EE0">
        <w:rPr>
          <w:color w:val="000000"/>
        </w:rPr>
        <w:t>la obligación de suspensión y proceder a obtener el control de forma previa a la autorización</w:t>
      </w:r>
      <w:r w:rsidR="009B0E49">
        <w:rPr>
          <w:color w:val="000000"/>
        </w:rPr>
        <w:t xml:space="preserve"> es un acto </w:t>
      </w:r>
      <w:r>
        <w:rPr>
          <w:color w:val="000000"/>
        </w:rPr>
        <w:t xml:space="preserve">de adelantamiento a la autoridad. </w:t>
      </w:r>
      <w:r>
        <w:rPr>
          <w:i/>
          <w:color w:val="000000"/>
        </w:rPr>
        <w:t>Gun jumping</w:t>
      </w:r>
      <w:r>
        <w:rPr>
          <w:color w:val="000000"/>
        </w:rPr>
        <w:t xml:space="preserve">, como es conocido en sistemas comparados, o el cierre anticipado de una operación sujeta a control de concentraciones, es, en sentido figurado, partir en una carrera antes de que el juez haya </w:t>
      </w:r>
      <w:r>
        <w:rPr>
          <w:color w:val="000000"/>
        </w:rPr>
        <w:lastRenderedPageBreak/>
        <w:t>realizado el disparo que marca el inicio</w:t>
      </w:r>
      <w:r w:rsidR="002022C0">
        <w:rPr>
          <w:color w:val="000000"/>
        </w:rPr>
        <w:t>. ¿E</w:t>
      </w:r>
      <w:r>
        <w:rPr>
          <w:color w:val="000000"/>
        </w:rPr>
        <w:t>n la práctica de</w:t>
      </w:r>
      <w:r w:rsidR="002022C0">
        <w:rPr>
          <w:color w:val="000000"/>
        </w:rPr>
        <w:t>l</w:t>
      </w:r>
      <w:r>
        <w:rPr>
          <w:color w:val="000000"/>
        </w:rPr>
        <w:t xml:space="preserve"> control de concentraciones</w:t>
      </w:r>
      <w:r w:rsidR="002022C0">
        <w:rPr>
          <w:color w:val="000000"/>
        </w:rPr>
        <w:t>? U</w:t>
      </w:r>
      <w:r>
        <w:rPr>
          <w:color w:val="000000"/>
        </w:rPr>
        <w:t xml:space="preserve">n cierre sin autorización.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¿Qué actos son considerados como de transgresión al control de concentraciones? Los actos de adelantamiento u omisión a la autoridad o </w:t>
      </w:r>
      <w:r>
        <w:rPr>
          <w:i/>
          <w:color w:val="000000"/>
        </w:rPr>
        <w:t>gun jumping</w:t>
      </w:r>
      <w:r>
        <w:rPr>
          <w:color w:val="000000"/>
        </w:rPr>
        <w:t xml:space="preserve"> constituyen conductas que consisten en (i) el perfeccionamiento de una operación de concentración sin que el agente haya realizado la notificación de la autoridad; (ii) habiendo realizado la notificación, que el agente perfeccione el acto antes del pronunciamiento final de la autoridad sobre la autorización; y,  (iii) la transferencia de información sensible que pueda incidir en las estrategias competitivas de las empresas de forma previa a la autorización. </w:t>
      </w:r>
      <w:r>
        <w:rPr>
          <w:i/>
          <w:color w:val="000000"/>
        </w:rPr>
        <w:t>Gun jumping</w:t>
      </w:r>
      <w:r>
        <w:rPr>
          <w:color w:val="000000"/>
        </w:rPr>
        <w:t xml:space="preserve">, entonces, exige la revisión de los límites de lo que es posible de hacer o no en el periodo previo a la obtención de la autorización de la autoridad de competencia. </w:t>
      </w:r>
    </w:p>
    <w:p w:rsidR="002355F1" w:rsidRDefault="002355F1" w:rsidP="00D936C4">
      <w:pPr>
        <w:spacing w:line="360" w:lineRule="auto"/>
        <w:jc w:val="both"/>
        <w:rPr>
          <w:color w:val="000000"/>
        </w:rPr>
      </w:pPr>
    </w:p>
    <w:p w:rsidR="00EA439B" w:rsidRDefault="005A478B" w:rsidP="00D936C4">
      <w:pPr>
        <w:spacing w:line="360" w:lineRule="auto"/>
        <w:jc w:val="both"/>
        <w:rPr>
          <w:color w:val="000000"/>
        </w:rPr>
      </w:pPr>
      <w:r>
        <w:rPr>
          <w:color w:val="000000"/>
        </w:rPr>
        <w:t>¿Por qué son graves estas conductas? Principalmente</w:t>
      </w:r>
      <w:r w:rsidR="00EA439B">
        <w:rPr>
          <w:color w:val="000000"/>
        </w:rPr>
        <w:t xml:space="preserve"> </w:t>
      </w:r>
      <w:r>
        <w:rPr>
          <w:color w:val="000000"/>
        </w:rPr>
        <w:t>porque estas conductas van en contra de la lógica del control pues ¿cómo se alcanza objetivos de la política de competencia si no se garantiza la protección de las herramientas con las que cuenta la autoridad?. Una vez perfeccionadas</w:t>
      </w:r>
      <w:r w:rsidR="00EA439B">
        <w:rPr>
          <w:color w:val="000000"/>
        </w:rPr>
        <w:t xml:space="preserve"> las operaciones de concentración</w:t>
      </w:r>
      <w:r>
        <w:rPr>
          <w:color w:val="000000"/>
        </w:rPr>
        <w:t xml:space="preserve">, </w:t>
      </w:r>
      <w:r w:rsidR="00EA439B">
        <w:rPr>
          <w:color w:val="000000"/>
        </w:rPr>
        <w:t xml:space="preserve">estas </w:t>
      </w:r>
      <w:r>
        <w:rPr>
          <w:color w:val="000000"/>
        </w:rPr>
        <w:t>tienen efecto</w:t>
      </w:r>
      <w:r w:rsidR="00EA439B">
        <w:rPr>
          <w:color w:val="000000"/>
        </w:rPr>
        <w:t xml:space="preserve"> inmediato</w:t>
      </w:r>
      <w:r>
        <w:rPr>
          <w:color w:val="000000"/>
        </w:rPr>
        <w:t xml:space="preserve"> en el mercado</w:t>
      </w:r>
      <w:r w:rsidR="00EA439B">
        <w:rPr>
          <w:color w:val="000000"/>
        </w:rPr>
        <w:t>. ¿Cuál es el problema en este punto?</w:t>
      </w:r>
    </w:p>
    <w:p w:rsidR="00EA439B" w:rsidRDefault="00EA439B" w:rsidP="00D936C4">
      <w:pPr>
        <w:spacing w:line="360" w:lineRule="auto"/>
        <w:jc w:val="both"/>
        <w:rPr>
          <w:color w:val="000000"/>
        </w:rPr>
      </w:pPr>
    </w:p>
    <w:p w:rsidR="00EA439B" w:rsidRDefault="00EA439B" w:rsidP="00D936C4">
      <w:pPr>
        <w:spacing w:line="360" w:lineRule="auto"/>
        <w:jc w:val="both"/>
        <w:rPr>
          <w:color w:val="000000"/>
        </w:rPr>
      </w:pPr>
      <w:r>
        <w:rPr>
          <w:color w:val="000000"/>
        </w:rPr>
        <w:t xml:space="preserve">Es cierto que dichos efectos pueden ser revertidos, en algunos casos, </w:t>
      </w:r>
      <w:r w:rsidR="005A478B">
        <w:rPr>
          <w:color w:val="000000"/>
        </w:rPr>
        <w:t>por la autoridad</w:t>
      </w:r>
      <w:r>
        <w:rPr>
          <w:color w:val="000000"/>
        </w:rPr>
        <w:t xml:space="preserve">; no obstante, es alta la probabilidad que, tras el cierre de la operación, se generen </w:t>
      </w:r>
      <w:r w:rsidR="005A478B">
        <w:rPr>
          <w:color w:val="000000"/>
        </w:rPr>
        <w:t>de forma inmediata cambios en la estructura de la competencia que no son deseables por la autoridad de competencia por no haberse verificado de forma previa si los mismos</w:t>
      </w:r>
      <w:r w:rsidR="005A478B">
        <w:t xml:space="preserve"> colaboran con el objetivo de promoción del proceso</w:t>
      </w:r>
      <w:r w:rsidR="005A478B">
        <w:rPr>
          <w:color w:val="000000"/>
        </w:rPr>
        <w:t xml:space="preserve"> competitivo y eficiencia en el mercado. </w:t>
      </w:r>
    </w:p>
    <w:p w:rsidR="00EA439B" w:rsidRDefault="00EA439B" w:rsidP="00D936C4">
      <w:pPr>
        <w:spacing w:line="360" w:lineRule="auto"/>
        <w:jc w:val="both"/>
        <w:rPr>
          <w:color w:val="000000"/>
        </w:rPr>
      </w:pPr>
    </w:p>
    <w:p w:rsidR="002355F1" w:rsidRDefault="005A478B" w:rsidP="00D936C4">
      <w:pPr>
        <w:spacing w:line="360" w:lineRule="auto"/>
        <w:jc w:val="both"/>
        <w:rPr>
          <w:color w:val="000000"/>
        </w:rPr>
      </w:pPr>
      <w:r>
        <w:rPr>
          <w:color w:val="000000"/>
        </w:rPr>
        <w:t>El cierre de la operación sin la adopción de medidas que puedan suspender los efectos suele tener efectos inmediatos en el mercado ya sea respecto a temas de control político o económicos</w:t>
      </w:r>
      <w:r w:rsidR="00EA439B">
        <w:rPr>
          <w:color w:val="000000"/>
        </w:rPr>
        <w:t xml:space="preserve"> y demendará a </w:t>
      </w:r>
      <w:r>
        <w:rPr>
          <w:color w:val="000000"/>
        </w:rPr>
        <w:t xml:space="preserve">la autoridad </w:t>
      </w:r>
      <w:r w:rsidR="00EA439B">
        <w:rPr>
          <w:color w:val="000000"/>
        </w:rPr>
        <w:t>un mayor despliegue de esfuerzos</w:t>
      </w:r>
      <w:r>
        <w:rPr>
          <w:color w:val="000000"/>
        </w:rPr>
        <w:t xml:space="preserve"> para restituir a situación competitiva a un momento previo a la concreción de la concentración. Estas conductas, dada su evidente transgresión a la norma, terminan siendo consideradas como </w:t>
      </w:r>
      <w:r>
        <w:rPr>
          <w:color w:val="000000"/>
        </w:rPr>
        <w:lastRenderedPageBreak/>
        <w:t xml:space="preserve">infracciones a las que el legislador les impone sanciones adecuadas para garantizar la </w:t>
      </w:r>
      <w:r>
        <w:t xml:space="preserve">protección y vigencia </w:t>
      </w:r>
      <w:r>
        <w:rPr>
          <w:color w:val="000000"/>
        </w:rPr>
        <w:t>del régimen de concentraciones.</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Es posible sostener que las autoridades de competencia entienden como perfeccionada un acto concentración siempre que el adquirente o nuevo beneficiario tenga la posibilidad de </w:t>
      </w:r>
      <w:r w:rsidR="00596767">
        <w:rPr>
          <w:color w:val="000000"/>
        </w:rPr>
        <w:t>ejercer control o</w:t>
      </w:r>
      <w:r w:rsidR="00596767">
        <w:rPr>
          <w:color w:val="000000"/>
          <w:u w:val="single"/>
        </w:rPr>
        <w:t xml:space="preserve"> </w:t>
      </w:r>
      <w:r>
        <w:rPr>
          <w:color w:val="000000"/>
          <w:u w:val="single"/>
        </w:rPr>
        <w:t>influencia decisiva</w:t>
      </w:r>
      <w:r>
        <w:rPr>
          <w:color w:val="000000"/>
        </w:rPr>
        <w:t xml:space="preserve"> en un agente económico previamente independiente. Sin embargo,</w:t>
      </w:r>
      <w:r w:rsidR="00DB1D43">
        <w:rPr>
          <w:color w:val="000000"/>
        </w:rPr>
        <w:t xml:space="preserve"> en la realidad nos enfrentamos a</w:t>
      </w:r>
      <w:r>
        <w:rPr>
          <w:color w:val="000000"/>
        </w:rPr>
        <w:t xml:space="preserve"> operaciones que involucr</w:t>
      </w:r>
      <w:r w:rsidR="00DB1D43">
        <w:rPr>
          <w:color w:val="000000"/>
        </w:rPr>
        <w:t>a</w:t>
      </w:r>
      <w:r>
        <w:rPr>
          <w:color w:val="000000"/>
        </w:rPr>
        <w:t xml:space="preserve">n varias jurisdicciones, </w:t>
      </w:r>
      <w:r w:rsidR="00DB1D43">
        <w:rPr>
          <w:color w:val="000000"/>
        </w:rPr>
        <w:t xml:space="preserve">a problemas como </w:t>
      </w:r>
      <w:r>
        <w:rPr>
          <w:color w:val="000000"/>
        </w:rPr>
        <w:t xml:space="preserve">la </w:t>
      </w:r>
      <w:r w:rsidR="00DB1D43">
        <w:rPr>
          <w:color w:val="000000"/>
        </w:rPr>
        <w:t xml:space="preserve">vaga determinación legal </w:t>
      </w:r>
      <w:r>
        <w:rPr>
          <w:color w:val="000000"/>
        </w:rPr>
        <w:t xml:space="preserve">de hasta qué punto es permitido el contacto entre competidores de manera previa a la concentración e incluso la escasa difusión del control de concentraciones, </w:t>
      </w:r>
      <w:r w:rsidR="00DB1D43">
        <w:rPr>
          <w:color w:val="000000"/>
        </w:rPr>
        <w:t xml:space="preserve">también con la </w:t>
      </w:r>
      <w:r>
        <w:rPr>
          <w:color w:val="000000"/>
        </w:rPr>
        <w:t>poca claridad en los umbrales así como de la obligación de suspender</w:t>
      </w:r>
      <w:r w:rsidR="00DB1D43">
        <w:rPr>
          <w:color w:val="000000"/>
        </w:rPr>
        <w:t xml:space="preserve">, todo lo cual </w:t>
      </w:r>
      <w:r>
        <w:rPr>
          <w:color w:val="000000"/>
        </w:rPr>
        <w:t xml:space="preserve">hace que al día hoy la figura de cierre anticipado </w:t>
      </w:r>
      <w:r w:rsidR="00DB1D43">
        <w:rPr>
          <w:color w:val="000000"/>
        </w:rPr>
        <w:t xml:space="preserve">aún </w:t>
      </w:r>
      <w:r>
        <w:rPr>
          <w:color w:val="000000"/>
        </w:rPr>
        <w:t xml:space="preserve">traiga consigo dudas y amerite </w:t>
      </w:r>
      <w:r w:rsidR="00382BCA">
        <w:rPr>
          <w:color w:val="000000"/>
        </w:rPr>
        <w:t xml:space="preserve">por parte de la autoridad </w:t>
      </w:r>
      <w:r>
        <w:rPr>
          <w:color w:val="000000"/>
        </w:rPr>
        <w:t>un análisis caso</w:t>
      </w:r>
      <w:r w:rsidR="00DB1D43">
        <w:rPr>
          <w:color w:val="000000"/>
        </w:rPr>
        <w:t xml:space="preserve"> por caso. </w:t>
      </w:r>
    </w:p>
    <w:p w:rsidR="002355F1" w:rsidRPr="00D9786F" w:rsidRDefault="005A478B" w:rsidP="00123ED2">
      <w:pPr>
        <w:pStyle w:val="Ttulo4"/>
        <w:numPr>
          <w:ilvl w:val="3"/>
          <w:numId w:val="3"/>
        </w:numPr>
        <w:spacing w:line="360" w:lineRule="auto"/>
        <w:rPr>
          <w:color w:val="000000"/>
        </w:rPr>
      </w:pPr>
      <w:bookmarkStart w:id="36" w:name="_Toc47387743"/>
      <w:r>
        <w:rPr>
          <w:color w:val="000000"/>
        </w:rPr>
        <w:t>¿Cuál es el estándar a nivel internacional?</w:t>
      </w:r>
      <w:bookmarkEnd w:id="36"/>
    </w:p>
    <w:p w:rsidR="002355F1" w:rsidRDefault="005A478B" w:rsidP="00D936C4">
      <w:pPr>
        <w:spacing w:line="360" w:lineRule="auto"/>
        <w:jc w:val="both"/>
        <w:rPr>
          <w:color w:val="000000"/>
        </w:rPr>
      </w:pPr>
      <w:r>
        <w:rPr>
          <w:color w:val="000000"/>
        </w:rPr>
        <w:t xml:space="preserve">Siendo la obligación de suspensión una obligación transversal al régimen de control de concentraciones, la consideración de qué eventos implican la transgresión de dicha obligación ha sido motivo de pronunciamientos de autoridades de competencia en el mundo. De forma general, ha sido considerada que dicha trasgresión amerita </w:t>
      </w:r>
      <w:r w:rsidR="00382BCA">
        <w:rPr>
          <w:color w:val="000000"/>
        </w:rPr>
        <w:t>una</w:t>
      </w:r>
      <w:r>
        <w:rPr>
          <w:color w:val="000000"/>
        </w:rPr>
        <w:t xml:space="preserve"> sanción de la autoridad de competencia. Sin embargo, a nivel internacional se observa que la autoridad de competencia para proceder a sancionar a los agentes económicos infractores</w:t>
      </w:r>
      <w:r w:rsidR="00382BCA">
        <w:rPr>
          <w:color w:val="000000"/>
        </w:rPr>
        <w:t>,</w:t>
      </w:r>
      <w:r>
        <w:rPr>
          <w:color w:val="000000"/>
        </w:rPr>
        <w:t xml:space="preserve"> requiere que de su análisis del acto </w:t>
      </w:r>
      <w:r w:rsidR="00382BCA">
        <w:rPr>
          <w:color w:val="000000"/>
        </w:rPr>
        <w:t>resulte observable</w:t>
      </w:r>
      <w:r>
        <w:rPr>
          <w:color w:val="000000"/>
        </w:rPr>
        <w:t xml:space="preserve"> el cambio en la estructura de control. </w:t>
      </w:r>
    </w:p>
    <w:p w:rsidR="00496C5C" w:rsidRDefault="00496C5C"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En los </w:t>
      </w:r>
      <w:r w:rsidR="00382BCA">
        <w:rPr>
          <w:color w:val="000000"/>
        </w:rPr>
        <w:t>años recientes</w:t>
      </w:r>
      <w:r>
        <w:rPr>
          <w:color w:val="000000"/>
        </w:rPr>
        <w:t xml:space="preserve">, las autoridades de competencia europeas han encontrado en la obligación de suspender una forma de reforzar las normas procedimentales del control de concentraciones. Por ejemplo, </w:t>
      </w:r>
      <w:r>
        <w:t xml:space="preserve">una </w:t>
      </w:r>
      <w:r>
        <w:rPr>
          <w:color w:val="000000"/>
        </w:rPr>
        <w:t>norma procedimental que garantiza el control de concentraciones es la obligación de no proveer información falsa o incompleta,  siendo que la Comisión Europea le impuso a Facebook en mayo de 2017 una multa de 100 millones de euros por proveer información falsa o incompleta durante la investigación llevada a partir de la adquisición de Whatsapp por parte de Facebook</w:t>
      </w:r>
      <w:r>
        <w:rPr>
          <w:color w:val="000000"/>
          <w:vertAlign w:val="superscript"/>
        </w:rPr>
        <w:footnoteReference w:id="26"/>
      </w:r>
      <w:r>
        <w:rPr>
          <w:color w:val="000000"/>
        </w:rPr>
        <w:t xml:space="preserve">.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lastRenderedPageBreak/>
        <w:t>Conforme al caso materia de</w:t>
      </w:r>
      <w:r w:rsidR="00382BCA">
        <w:rPr>
          <w:color w:val="000000"/>
        </w:rPr>
        <w:t>l</w:t>
      </w:r>
      <w:r>
        <w:rPr>
          <w:color w:val="000000"/>
        </w:rPr>
        <w:t xml:space="preserve"> </w:t>
      </w:r>
      <w:r w:rsidR="00382BCA">
        <w:rPr>
          <w:color w:val="000000"/>
        </w:rPr>
        <w:t>In</w:t>
      </w:r>
      <w:r>
        <w:rPr>
          <w:color w:val="000000"/>
        </w:rPr>
        <w:t xml:space="preserve">forme, otra forma de garantizar el control a través de la normativa de concentraciones es la obligación de no implementar la concentración, con esta obligación quedan prohibidas la concentración sin autorización al ser una violación a lo dispuesto en el artículo 7(1) del Reglamento 139/2004. Existe el deber de suspender la ejecución de una concentración notificable ante la Comisión Europea hasta </w:t>
      </w:r>
      <w:r w:rsidR="00382BCA">
        <w:rPr>
          <w:color w:val="000000"/>
        </w:rPr>
        <w:t xml:space="preserve">que el o los agentes económicos </w:t>
      </w:r>
      <w:r>
        <w:rPr>
          <w:color w:val="000000"/>
        </w:rPr>
        <w:t>obten</w:t>
      </w:r>
      <w:r w:rsidR="00382BCA">
        <w:rPr>
          <w:color w:val="000000"/>
        </w:rPr>
        <w:t>gan</w:t>
      </w:r>
      <w:r>
        <w:rPr>
          <w:color w:val="000000"/>
        </w:rPr>
        <w:t xml:space="preserve"> la correspondiente autorización</w:t>
      </w:r>
      <w:r w:rsidR="00382BCA">
        <w:rPr>
          <w:color w:val="000000"/>
        </w:rPr>
        <w:t xml:space="preserve"> y, dada su relevancia para el sistema de control previo, </w:t>
      </w:r>
      <w:r>
        <w:rPr>
          <w:color w:val="000000"/>
        </w:rPr>
        <w:t>este deber ha sido re</w:t>
      </w:r>
      <w:r w:rsidR="00382BCA">
        <w:rPr>
          <w:color w:val="000000"/>
        </w:rPr>
        <w:t>plicado</w:t>
      </w:r>
      <w:r>
        <w:rPr>
          <w:color w:val="000000"/>
        </w:rPr>
        <w:t xml:space="preserve"> por los Estados miembros en sus normas internas de competencia.  </w:t>
      </w:r>
    </w:p>
    <w:p w:rsidR="002355F1" w:rsidRDefault="002355F1" w:rsidP="00D936C4">
      <w:pPr>
        <w:spacing w:line="360" w:lineRule="auto"/>
        <w:jc w:val="both"/>
        <w:rPr>
          <w:color w:val="000000"/>
        </w:rPr>
      </w:pPr>
    </w:p>
    <w:p w:rsidR="002355F1" w:rsidRDefault="005A478B" w:rsidP="00D936C4">
      <w:pPr>
        <w:spacing w:after="220" w:line="360" w:lineRule="auto"/>
        <w:jc w:val="both"/>
        <w:rPr>
          <w:color w:val="000000"/>
        </w:rPr>
      </w:pPr>
      <w:r>
        <w:rPr>
          <w:color w:val="000000"/>
        </w:rPr>
        <w:t>No obstante, aún exista el reconocimiento expreso de la obligación de no implementar la concentración con efectos comunitarios, existe una pregunta al día de hoy sobre cu</w:t>
      </w:r>
      <w:r w:rsidR="00152BDD">
        <w:rPr>
          <w:color w:val="000000"/>
        </w:rPr>
        <w:t>á</w:t>
      </w:r>
      <w:r>
        <w:rPr>
          <w:color w:val="000000"/>
        </w:rPr>
        <w:t xml:space="preserve">ndo, efectivamente, se realiza la implementación de una concentración. Al respecto, </w:t>
      </w:r>
      <w:r w:rsidR="008965C6">
        <w:rPr>
          <w:color w:val="000000"/>
        </w:rPr>
        <w:t xml:space="preserve">el caso Ernst &amp; Young y KPMG DK </w:t>
      </w:r>
      <w:r w:rsidR="00152BDD">
        <w:rPr>
          <w:color w:val="000000"/>
        </w:rPr>
        <w:t>ilustra los criterios empleados por</w:t>
      </w:r>
      <w:r w:rsidR="008965C6">
        <w:rPr>
          <w:color w:val="000000"/>
        </w:rPr>
        <w:t xml:space="preserve"> las autoridades de</w:t>
      </w:r>
      <w:r>
        <w:rPr>
          <w:color w:val="000000"/>
        </w:rPr>
        <w:t xml:space="preserve"> la Comunidad Europea en su aproximación a </w:t>
      </w:r>
      <w:r w:rsidR="00152BDD">
        <w:rPr>
          <w:color w:val="000000"/>
        </w:rPr>
        <w:t xml:space="preserve">la </w:t>
      </w:r>
      <w:r>
        <w:rPr>
          <w:color w:val="000000"/>
        </w:rPr>
        <w:t xml:space="preserve">obligación de no implementar la concentración y </w:t>
      </w:r>
      <w:r w:rsidR="00152BDD">
        <w:rPr>
          <w:color w:val="000000"/>
        </w:rPr>
        <w:t xml:space="preserve">brinda más detalles </w:t>
      </w:r>
      <w:r>
        <w:rPr>
          <w:color w:val="000000"/>
        </w:rPr>
        <w:t>sobre cuándo deb</w:t>
      </w:r>
      <w:r w:rsidR="00562518">
        <w:rPr>
          <w:color w:val="000000"/>
        </w:rPr>
        <w:t>ería</w:t>
      </w:r>
      <w:r>
        <w:rPr>
          <w:color w:val="000000"/>
        </w:rPr>
        <w:t xml:space="preserve"> ser considerada como realizada la infracción. </w:t>
      </w:r>
    </w:p>
    <w:p w:rsidR="002355F1" w:rsidRDefault="005A478B" w:rsidP="00D936C4">
      <w:pPr>
        <w:pStyle w:val="Ttulo6"/>
        <w:numPr>
          <w:ilvl w:val="0"/>
          <w:numId w:val="4"/>
        </w:numPr>
        <w:spacing w:line="360" w:lineRule="auto"/>
        <w:rPr>
          <w:color w:val="000000"/>
          <w:sz w:val="24"/>
          <w:szCs w:val="24"/>
        </w:rPr>
      </w:pPr>
      <w:bookmarkStart w:id="37" w:name="_Toc47387744"/>
      <w:r>
        <w:rPr>
          <w:color w:val="000000"/>
          <w:sz w:val="24"/>
          <w:szCs w:val="24"/>
        </w:rPr>
        <w:t>El Caso Ernst &amp; Young y KPMG DK. Asunto C‑633/16.</w:t>
      </w:r>
      <w:bookmarkEnd w:id="37"/>
    </w:p>
    <w:p w:rsidR="00EB277E" w:rsidRPr="00EB277E" w:rsidRDefault="00EB277E" w:rsidP="00EB277E"/>
    <w:p w:rsidR="002355F1" w:rsidRDefault="0076454D" w:rsidP="00D936C4">
      <w:pPr>
        <w:spacing w:line="360" w:lineRule="auto"/>
        <w:jc w:val="both"/>
      </w:pPr>
      <w:r>
        <w:t xml:space="preserve">La discusión que nació a partir del Caso C-633/16 del 31 de mayo de 2018, operación de concentración llevada a cabo por Ernst &amp; Young y KMPG DK en Dinamarca, </w:t>
      </w:r>
      <w:r w:rsidR="005A478B">
        <w:t>motivó un pronunciamiento del Tribunal de Justicia de la Unión Europea que sostuvo que "una concentración es ejecutad</w:t>
      </w:r>
      <w:r w:rsidR="00746D98">
        <w:t>a</w:t>
      </w:r>
      <w:r w:rsidR="005A478B">
        <w:t xml:space="preserve"> sólo por una transacción que, en todo o en parte, de hecho o de derecho, contribuye al cambio de control de la empresa de destino", otorgando a la obligación de suspensión el contenido de realizar actos que, efectivamente, incidan en la estructura de control. </w:t>
      </w:r>
    </w:p>
    <w:p w:rsidR="002355F1" w:rsidRDefault="002355F1" w:rsidP="00D936C4">
      <w:pPr>
        <w:spacing w:line="360" w:lineRule="auto"/>
        <w:jc w:val="both"/>
      </w:pPr>
    </w:p>
    <w:p w:rsidR="002355F1" w:rsidRDefault="00746D98" w:rsidP="00D936C4">
      <w:pPr>
        <w:spacing w:line="360" w:lineRule="auto"/>
        <w:jc w:val="both"/>
        <w:rPr>
          <w:color w:val="000000"/>
        </w:rPr>
      </w:pPr>
      <w:r>
        <w:rPr>
          <w:color w:val="000000"/>
        </w:rPr>
        <w:t>Para empezar, durante el mes de</w:t>
      </w:r>
      <w:r w:rsidR="005A478B">
        <w:rPr>
          <w:color w:val="000000"/>
        </w:rPr>
        <w:t xml:space="preserve"> Noviembre del 2013, en Dinamarca acordaron Ernst &amp; Young y KPMG DK fusionarse y en la misma fecha, 18 de noviembre de </w:t>
      </w:r>
      <w:r w:rsidR="005A478B" w:rsidRPr="002705FA">
        <w:rPr>
          <w:color w:val="000000"/>
        </w:rPr>
        <w:t>2013 KPMG DK informó a KPMG Internacional la resolución del contrato de cooperación</w:t>
      </w:r>
      <w:r w:rsidR="005A478B">
        <w:rPr>
          <w:color w:val="000000"/>
        </w:rPr>
        <w:t xml:space="preserve"> con efectos a partir de 30 de septiembre de 2014. Este acuerdo</w:t>
      </w:r>
      <w:r>
        <w:rPr>
          <w:color w:val="000000"/>
        </w:rPr>
        <w:t xml:space="preserve"> entre KPMG DK y KPMG Internacional</w:t>
      </w:r>
      <w:r w:rsidR="005A478B">
        <w:rPr>
          <w:color w:val="000000"/>
        </w:rPr>
        <w:t xml:space="preserve"> establecía un marco en el cual las partes</w:t>
      </w:r>
      <w:r>
        <w:rPr>
          <w:color w:val="000000"/>
        </w:rPr>
        <w:t xml:space="preserve"> </w:t>
      </w:r>
      <w:r w:rsidR="005A478B">
        <w:rPr>
          <w:color w:val="000000"/>
        </w:rPr>
        <w:t xml:space="preserve">podían presentarse a los clientes como una red combinada, </w:t>
      </w:r>
      <w:r w:rsidR="005A478B">
        <w:t>estableciéndose</w:t>
      </w:r>
      <w:r w:rsidR="005A478B">
        <w:rPr>
          <w:color w:val="000000"/>
        </w:rPr>
        <w:t xml:space="preserve"> reglas de </w:t>
      </w:r>
      <w:r w:rsidR="005A478B">
        <w:t xml:space="preserve">compensación anual para participar en la red y obtener </w:t>
      </w:r>
      <w:r w:rsidR="005A478B">
        <w:lastRenderedPageBreak/>
        <w:t>los beneficios de la misma.</w:t>
      </w:r>
      <w:r w:rsidR="002705FA">
        <w:t xml:space="preserve"> La operación</w:t>
      </w:r>
      <w:r>
        <w:t xml:space="preserve"> de concentración</w:t>
      </w:r>
      <w:r w:rsidR="002705FA">
        <w:t xml:space="preserve"> fue</w:t>
      </w:r>
      <w:r w:rsidR="0076454D">
        <w:t xml:space="preserve"> </w:t>
      </w:r>
      <w:r w:rsidR="005A478B">
        <w:rPr>
          <w:color w:val="000000"/>
        </w:rPr>
        <w:t xml:space="preserve">notificada a la Autoridad de Competencia y Consumidor danesa en diciembre de 2013 y aprobada por el Consejo de Competencia danés en mayo de 2014. Sin embargo, en el mes de diciembre de 2014,  la Autoridad de Competencia y Consumidor danesa identificó que al haber </w:t>
      </w:r>
      <w:r>
        <w:rPr>
          <w:color w:val="000000"/>
        </w:rPr>
        <w:t xml:space="preserve">procedido </w:t>
      </w:r>
      <w:r w:rsidR="005A478B">
        <w:rPr>
          <w:color w:val="000000"/>
        </w:rPr>
        <w:t xml:space="preserve">KPMG DK </w:t>
      </w:r>
      <w:r>
        <w:rPr>
          <w:color w:val="000000"/>
        </w:rPr>
        <w:t xml:space="preserve">con </w:t>
      </w:r>
      <w:r w:rsidR="005A478B">
        <w:rPr>
          <w:color w:val="000000"/>
        </w:rPr>
        <w:t>la finalización del acuerdo de cooperación con KPMG Internacional</w:t>
      </w:r>
      <w:r>
        <w:rPr>
          <w:color w:val="000000"/>
        </w:rPr>
        <w:t xml:space="preserve"> </w:t>
      </w:r>
      <w:r w:rsidR="005A478B">
        <w:rPr>
          <w:color w:val="000000"/>
        </w:rPr>
        <w:t xml:space="preserve">de manera previa a obtener la autorización, KPMG DK y Ernst &amp; Young habrían infringido la obligación de suspensión bajo la norma de competencia danesa. </w:t>
      </w:r>
    </w:p>
    <w:p w:rsidR="002355F1" w:rsidRDefault="002355F1" w:rsidP="00D936C4">
      <w:pPr>
        <w:spacing w:line="360" w:lineRule="auto"/>
        <w:jc w:val="both"/>
        <w:rPr>
          <w:color w:val="000000"/>
        </w:rPr>
      </w:pPr>
    </w:p>
    <w:p w:rsidR="002355F1" w:rsidRDefault="002705FA" w:rsidP="00D936C4">
      <w:pPr>
        <w:spacing w:line="360" w:lineRule="auto"/>
        <w:jc w:val="both"/>
        <w:rPr>
          <w:color w:val="000000"/>
        </w:rPr>
      </w:pPr>
      <w:r>
        <w:rPr>
          <w:color w:val="000000"/>
        </w:rPr>
        <w:t>El</w:t>
      </w:r>
      <w:r w:rsidR="005A478B">
        <w:rPr>
          <w:color w:val="000000"/>
        </w:rPr>
        <w:t xml:space="preserve"> Consejo de Competencia danés</w:t>
      </w:r>
      <w:r>
        <w:rPr>
          <w:color w:val="000000"/>
        </w:rPr>
        <w:t xml:space="preserve">, confirmando la imputación de la autoridad danesa, para identificar la realización de una concentración determinó que </w:t>
      </w:r>
      <w:r w:rsidR="00B05E4F">
        <w:rPr>
          <w:color w:val="000000"/>
        </w:rPr>
        <w:t>el acto realizado por KPMG DK fue</w:t>
      </w:r>
      <w:r w:rsidR="005A478B">
        <w:rPr>
          <w:color w:val="000000"/>
          <w:vertAlign w:val="superscript"/>
        </w:rPr>
        <w:footnoteReference w:id="27"/>
      </w:r>
      <w:r w:rsidR="005A478B">
        <w:rPr>
          <w:color w:val="000000"/>
        </w:rPr>
        <w:t xml:space="preserve">: (i) </w:t>
      </w:r>
      <w:r>
        <w:rPr>
          <w:i/>
          <w:iCs/>
          <w:color w:val="000000"/>
        </w:rPr>
        <w:t xml:space="preserve">Específico de la concentración: </w:t>
      </w:r>
      <w:r w:rsidR="005A478B">
        <w:rPr>
          <w:color w:val="000000"/>
        </w:rPr>
        <w:t>la terminación de la cooperación incidía directamente en la operación de concentración y no habría sucedido si no hubiera existido el acuerdo de concentración entre KPMG DK y Ernst &amp; Young; (ii) el fin del acuerdo de cooperación era</w:t>
      </w:r>
      <w:r w:rsidR="005A478B" w:rsidRPr="002705FA">
        <w:rPr>
          <w:i/>
          <w:iCs/>
          <w:color w:val="000000"/>
        </w:rPr>
        <w:t xml:space="preserve"> irreversible</w:t>
      </w:r>
      <w:r w:rsidR="005A478B">
        <w:rPr>
          <w:color w:val="000000"/>
        </w:rPr>
        <w:t xml:space="preserve">; y, (iii) dicha finalización de la cooperación tuvo el </w:t>
      </w:r>
      <w:r w:rsidR="005A478B" w:rsidRPr="002705FA">
        <w:rPr>
          <w:i/>
          <w:iCs/>
          <w:color w:val="000000"/>
        </w:rPr>
        <w:t>potencial de crear efectos en el mercado</w:t>
      </w:r>
      <w:r w:rsidR="005A478B">
        <w:rPr>
          <w:color w:val="000000"/>
        </w:rPr>
        <w:t>, ya que, de manera previa a la aprobación de la operación de la autoridad de competencia, existieron reacciones en el mercado tras ese hecho. Además, si la operación no hubiese sido aprobada, KPMG DK ya habría realizado el acto de fin de cooperación que implicaría su existencia sin ser parte de la red internacional de KPMG (Consejo de Competencia danés: Decisión del 17 de diciembre de 2014)</w:t>
      </w:r>
      <w:r w:rsidR="008965C6" w:rsidRPr="008965C6">
        <w:rPr>
          <w:color w:val="000000"/>
          <w:sz w:val="20"/>
          <w:szCs w:val="20"/>
          <w:vertAlign w:val="superscript"/>
        </w:rPr>
        <w:t xml:space="preserve"> </w:t>
      </w:r>
      <w:r w:rsidR="008965C6" w:rsidRPr="00324395">
        <w:rPr>
          <w:color w:val="000000"/>
          <w:sz w:val="20"/>
          <w:szCs w:val="20"/>
          <w:vertAlign w:val="superscript"/>
        </w:rPr>
        <w:footnoteReference w:id="28"/>
      </w:r>
      <w:r w:rsidR="005A478B">
        <w:rPr>
          <w:color w:val="000000"/>
        </w:rPr>
        <w:t>.</w:t>
      </w:r>
    </w:p>
    <w:p w:rsidR="002355F1" w:rsidRDefault="002355F1" w:rsidP="00D936C4">
      <w:pPr>
        <w:spacing w:line="360" w:lineRule="auto"/>
        <w:jc w:val="both"/>
        <w:rPr>
          <w:color w:val="000000"/>
        </w:rPr>
      </w:pPr>
    </w:p>
    <w:p w:rsidR="002355F1" w:rsidRDefault="00046522" w:rsidP="00D936C4">
      <w:pPr>
        <w:spacing w:line="360" w:lineRule="auto"/>
        <w:jc w:val="both"/>
        <w:rPr>
          <w:color w:val="000000"/>
        </w:rPr>
      </w:pPr>
      <w:r>
        <w:rPr>
          <w:color w:val="000000"/>
        </w:rPr>
        <w:t xml:space="preserve">El Tribunal de Justicia de la Unión Europea, tras la presentación del recurso de anulación de la decisión danesa por parte de </w:t>
      </w:r>
      <w:r w:rsidR="005A478B">
        <w:rPr>
          <w:color w:val="000000"/>
        </w:rPr>
        <w:t>Ernst &amp; Young</w:t>
      </w:r>
      <w:r>
        <w:rPr>
          <w:color w:val="000000"/>
        </w:rPr>
        <w:t xml:space="preserve">, fue sometido a emitir un </w:t>
      </w:r>
      <w:r w:rsidR="005A478B">
        <w:rPr>
          <w:color w:val="000000"/>
        </w:rPr>
        <w:t xml:space="preserve">pronunciamiento que esclarezca el alcance de la obligación de suspensión </w:t>
      </w:r>
      <w:r w:rsidR="00B05E4F">
        <w:rPr>
          <w:color w:val="000000"/>
        </w:rPr>
        <w:t xml:space="preserve">en </w:t>
      </w:r>
      <w:r w:rsidR="005A478B">
        <w:rPr>
          <w:color w:val="000000"/>
        </w:rPr>
        <w:t xml:space="preserve">el Reglamento de Concentraciones 139/2004. </w:t>
      </w:r>
      <w:r w:rsidR="00746D98">
        <w:rPr>
          <w:color w:val="000000"/>
        </w:rPr>
        <w:t xml:space="preserve">Sobre el particular, fueron las siguientes interrogantes las que debió atender el Tribunal: </w:t>
      </w:r>
    </w:p>
    <w:p w:rsidR="00746D98" w:rsidRPr="00046522" w:rsidRDefault="00746D98" w:rsidP="00D936C4">
      <w:pPr>
        <w:spacing w:line="360" w:lineRule="auto"/>
        <w:jc w:val="both"/>
        <w:rPr>
          <w:color w:val="000000"/>
        </w:rPr>
      </w:pPr>
    </w:p>
    <w:p w:rsidR="002355F1" w:rsidRPr="00324395" w:rsidRDefault="005A478B" w:rsidP="00D936C4">
      <w:pPr>
        <w:pBdr>
          <w:top w:val="nil"/>
          <w:left w:val="nil"/>
          <w:bottom w:val="nil"/>
          <w:right w:val="nil"/>
          <w:between w:val="nil"/>
        </w:pBdr>
        <w:spacing w:line="360" w:lineRule="auto"/>
        <w:ind w:left="720"/>
        <w:jc w:val="both"/>
        <w:rPr>
          <w:color w:val="000000"/>
          <w:sz w:val="20"/>
          <w:szCs w:val="20"/>
        </w:rPr>
      </w:pPr>
      <w:r w:rsidRPr="00324395">
        <w:rPr>
          <w:sz w:val="20"/>
          <w:szCs w:val="20"/>
        </w:rPr>
        <w:t xml:space="preserve">1)    ¿Qué criterios deben aplicarse para determinar si una conducta o actuación empresarial que está encaminada a una concentración queda comprendida en el ámbito de la prohibición del artículo 7, apartado 1, del Reglamento n.o 139/2004 (prohibición de ejecutar la concentración antes de obtener </w:t>
      </w:r>
      <w:r w:rsidRPr="00324395">
        <w:rPr>
          <w:sz w:val="20"/>
          <w:szCs w:val="20"/>
        </w:rPr>
        <w:lastRenderedPageBreak/>
        <w:t>una autorización)? ¿Cabe entender que una actuación ejecutoria</w:t>
      </w:r>
      <w:r w:rsidR="00B018AD">
        <w:rPr>
          <w:sz w:val="20"/>
          <w:szCs w:val="20"/>
        </w:rPr>
        <w:t xml:space="preserve"> (…)</w:t>
      </w:r>
      <w:r w:rsidRPr="00324395">
        <w:rPr>
          <w:sz w:val="20"/>
          <w:szCs w:val="20"/>
        </w:rPr>
        <w:t xml:space="preserve"> constituye un efectivo cambio de contro?</w:t>
      </w:r>
      <w:r w:rsidRPr="00324395">
        <w:rPr>
          <w:rFonts w:ascii="Verdana" w:eastAsia="Verdana" w:hAnsi="Verdana" w:cs="Verdana"/>
          <w:color w:val="333333"/>
          <w:sz w:val="15"/>
          <w:szCs w:val="15"/>
          <w:highlight w:val="white"/>
        </w:rPr>
        <w:t xml:space="preserve"> </w:t>
      </w:r>
      <w:r w:rsidRPr="00324395">
        <w:rPr>
          <w:color w:val="000000"/>
          <w:sz w:val="20"/>
          <w:szCs w:val="20"/>
        </w:rPr>
        <w:t>(Tribunal de Justicia de la Unión Europea 2018: párrafo 27).</w:t>
      </w:r>
      <w:r w:rsidRPr="00324395">
        <w:rPr>
          <w:color w:val="000000"/>
          <w:sz w:val="20"/>
          <w:szCs w:val="20"/>
          <w:vertAlign w:val="superscript"/>
        </w:rPr>
        <w:footnoteReference w:id="29"/>
      </w:r>
    </w:p>
    <w:p w:rsidR="002355F1" w:rsidRPr="00324395" w:rsidRDefault="002355F1" w:rsidP="00D936C4">
      <w:pPr>
        <w:spacing w:line="360" w:lineRule="auto"/>
        <w:ind w:left="720"/>
        <w:jc w:val="both"/>
        <w:rPr>
          <w:color w:val="000000"/>
          <w:sz w:val="21"/>
          <w:szCs w:val="21"/>
        </w:rPr>
      </w:pPr>
    </w:p>
    <w:p w:rsidR="002355F1" w:rsidRDefault="005A478B" w:rsidP="00D936C4">
      <w:pPr>
        <w:pBdr>
          <w:bottom w:val="none" w:sz="0" w:space="6" w:color="000000"/>
        </w:pBdr>
        <w:spacing w:line="360" w:lineRule="auto"/>
        <w:jc w:val="both"/>
        <w:rPr>
          <w:color w:val="000000"/>
        </w:rPr>
      </w:pPr>
      <w:r>
        <w:rPr>
          <w:color w:val="000000"/>
        </w:rPr>
        <w:t>El Abogado General Nils Wahl emitió una opinión sobre el caso el 18 de enero de 2018 en la cual remarcó que</w:t>
      </w:r>
      <w:r w:rsidR="00B018AD">
        <w:rPr>
          <w:color w:val="000000"/>
        </w:rPr>
        <w:t xml:space="preserve"> la falta de claridad en los pronunciamientos sobre la obligación de suspensión</w:t>
      </w:r>
      <w:r w:rsidR="00746D98">
        <w:rPr>
          <w:color w:val="000000"/>
        </w:rPr>
        <w:t>,</w:t>
      </w:r>
      <w:r w:rsidR="00B018AD">
        <w:rPr>
          <w:color w:val="000000"/>
        </w:rPr>
        <w:t xml:space="preserve"> así como la </w:t>
      </w:r>
      <w:r>
        <w:rPr>
          <w:color w:val="000000"/>
        </w:rPr>
        <w:t>falta de revisión judicial</w:t>
      </w:r>
      <w:r w:rsidR="005A7511">
        <w:rPr>
          <w:color w:val="000000"/>
        </w:rPr>
        <w:t>,</w:t>
      </w:r>
      <w:r>
        <w:rPr>
          <w:color w:val="000000"/>
        </w:rPr>
        <w:t xml:space="preserve"> han permitido a la Comisión a continuar con sus actividades reguladoras</w:t>
      </w:r>
      <w:r w:rsidR="005A7511">
        <w:rPr>
          <w:color w:val="000000"/>
        </w:rPr>
        <w:t xml:space="preserve"> sin que esto haya alcanzado esclarecer el ámbito de la suspensión</w:t>
      </w:r>
      <w:r>
        <w:rPr>
          <w:color w:val="000000"/>
        </w:rPr>
        <w:t xml:space="preserve"> (Wahl 2018: párrafo 43)</w:t>
      </w:r>
      <w:r>
        <w:rPr>
          <w:color w:val="000000"/>
          <w:vertAlign w:val="superscript"/>
        </w:rPr>
        <w:footnoteReference w:id="30"/>
      </w:r>
      <w:r>
        <w:rPr>
          <w:color w:val="000000"/>
        </w:rPr>
        <w:t xml:space="preserve">. Para el Abogado Wahl, </w:t>
      </w:r>
      <w:r w:rsidR="00B018AD">
        <w:rPr>
          <w:color w:val="000000"/>
        </w:rPr>
        <w:t>no todas las acciones realizadas entre agentes expectantes a fusionarse u otra operación de concentración</w:t>
      </w:r>
      <w:r>
        <w:rPr>
          <w:color w:val="000000"/>
        </w:rPr>
        <w:t xml:space="preserve"> derivaban en un cambio de control y criticó los tres criterios usados por el Consejo danés </w:t>
      </w:r>
      <w:r w:rsidR="00B018AD">
        <w:rPr>
          <w:color w:val="000000"/>
        </w:rPr>
        <w:t xml:space="preserve">pues, (i) el criterio </w:t>
      </w:r>
      <w:r w:rsidR="00B018AD">
        <w:rPr>
          <w:i/>
          <w:iCs/>
          <w:color w:val="000000"/>
        </w:rPr>
        <w:t>específico</w:t>
      </w:r>
      <w:r w:rsidR="00B018AD">
        <w:rPr>
          <w:color w:val="000000"/>
        </w:rPr>
        <w:t xml:space="preserve"> de la operación no añad</w:t>
      </w:r>
      <w:r w:rsidR="005A7511">
        <w:rPr>
          <w:color w:val="000000"/>
        </w:rPr>
        <w:t>ía</w:t>
      </w:r>
      <w:r w:rsidR="00B018AD">
        <w:rPr>
          <w:color w:val="000000"/>
        </w:rPr>
        <w:t xml:space="preserve"> valor al análisis de responsabilidad</w:t>
      </w:r>
      <w:r w:rsidR="005A7511">
        <w:rPr>
          <w:color w:val="000000"/>
        </w:rPr>
        <w:t>, pues el hecho que</w:t>
      </w:r>
      <w:r w:rsidR="00B018AD">
        <w:rPr>
          <w:color w:val="000000"/>
        </w:rPr>
        <w:t xml:space="preserve"> toda acció</w:t>
      </w:r>
      <w:r w:rsidR="005A7511">
        <w:rPr>
          <w:color w:val="000000"/>
        </w:rPr>
        <w:t>n</w:t>
      </w:r>
      <w:r w:rsidR="00B018AD">
        <w:rPr>
          <w:color w:val="000000"/>
        </w:rPr>
        <w:t xml:space="preserve"> </w:t>
      </w:r>
      <w:r>
        <w:rPr>
          <w:color w:val="000000"/>
        </w:rPr>
        <w:t xml:space="preserve">esté vinculada de forma directa a una concentración </w:t>
      </w:r>
      <w:r w:rsidR="005A7511">
        <w:rPr>
          <w:color w:val="000000"/>
        </w:rPr>
        <w:t>constituye de por sí en</w:t>
      </w:r>
      <w:r>
        <w:rPr>
          <w:color w:val="000000"/>
        </w:rPr>
        <w:t xml:space="preserve"> un requisito para la aplicación del Reglamento de Concentraciones</w:t>
      </w:r>
      <w:r w:rsidR="00B018AD">
        <w:rPr>
          <w:color w:val="000000"/>
        </w:rPr>
        <w:t>; (ii) s</w:t>
      </w:r>
      <w:r w:rsidR="005A7511">
        <w:rPr>
          <w:color w:val="000000"/>
        </w:rPr>
        <w:t>í</w:t>
      </w:r>
      <w:r w:rsidR="00B018AD">
        <w:rPr>
          <w:color w:val="000000"/>
        </w:rPr>
        <w:t xml:space="preserve"> es posible </w:t>
      </w:r>
      <w:r w:rsidR="00B018AD">
        <w:rPr>
          <w:i/>
          <w:iCs/>
          <w:color w:val="000000"/>
        </w:rPr>
        <w:t>revertir</w:t>
      </w:r>
      <w:r w:rsidR="00B018AD">
        <w:rPr>
          <w:color w:val="000000"/>
        </w:rPr>
        <w:t xml:space="preserve"> la operación </w:t>
      </w:r>
      <w:r>
        <w:rPr>
          <w:color w:val="000000"/>
        </w:rPr>
        <w:t xml:space="preserve"> a través de la aplicación del artículo 8 en sus literales (a) y (c) del Reglamento </w:t>
      </w:r>
      <w:r w:rsidR="005A7511">
        <w:rPr>
          <w:color w:val="000000"/>
        </w:rPr>
        <w:t>139/2004</w:t>
      </w:r>
      <w:r>
        <w:rPr>
          <w:color w:val="000000"/>
          <w:vertAlign w:val="superscript"/>
        </w:rPr>
        <w:footnoteReference w:id="31"/>
      </w:r>
      <w:r w:rsidR="00B018AD">
        <w:rPr>
          <w:color w:val="000000"/>
        </w:rPr>
        <w:t xml:space="preserve">; y, (iii) todas las operaciones tienen un efecto </w:t>
      </w:r>
      <w:r w:rsidR="00B018AD">
        <w:rPr>
          <w:i/>
          <w:iCs/>
          <w:color w:val="000000"/>
        </w:rPr>
        <w:t>potencial</w:t>
      </w:r>
      <w:r w:rsidR="00B018AD">
        <w:rPr>
          <w:color w:val="000000"/>
        </w:rPr>
        <w:t xml:space="preserve"> en el mercado, omitiendo esta aseveración </w:t>
      </w:r>
      <w:r>
        <w:rPr>
          <w:color w:val="000000"/>
        </w:rPr>
        <w:t>la evaluación económica requerida</w:t>
      </w:r>
      <w:r w:rsidR="00046522">
        <w:rPr>
          <w:color w:val="000000"/>
        </w:rPr>
        <w:t xml:space="preserve"> </w:t>
      </w:r>
      <w:r w:rsidR="00B018AD">
        <w:rPr>
          <w:color w:val="000000"/>
        </w:rPr>
        <w:t>(Wahl 2018: párrafos 47 -58)</w:t>
      </w:r>
      <w:r w:rsidR="00046522">
        <w:rPr>
          <w:color w:val="000000"/>
        </w:rPr>
        <w:t>.</w:t>
      </w:r>
    </w:p>
    <w:p w:rsidR="00046522" w:rsidRDefault="00046522" w:rsidP="00D936C4">
      <w:pPr>
        <w:pBdr>
          <w:bottom w:val="none" w:sz="0" w:space="6" w:color="000000"/>
        </w:pBdr>
        <w:spacing w:line="360" w:lineRule="auto"/>
        <w:jc w:val="both"/>
        <w:rPr>
          <w:color w:val="000000"/>
        </w:rPr>
      </w:pPr>
    </w:p>
    <w:p w:rsidR="004A6C6E" w:rsidRDefault="005A478B" w:rsidP="00D936C4">
      <w:pPr>
        <w:pBdr>
          <w:bottom w:val="none" w:sz="0" w:space="6" w:color="000000"/>
        </w:pBdr>
        <w:spacing w:after="220" w:line="360" w:lineRule="auto"/>
        <w:jc w:val="both"/>
        <w:rPr>
          <w:color w:val="000000"/>
        </w:rPr>
      </w:pPr>
      <w:r>
        <w:rPr>
          <w:color w:val="000000"/>
        </w:rPr>
        <w:t xml:space="preserve">En criterio del Abogado Wahl, </w:t>
      </w:r>
      <w:r w:rsidR="0076454D">
        <w:rPr>
          <w:color w:val="000000"/>
        </w:rPr>
        <w:t xml:space="preserve">solo debería atenderse a </w:t>
      </w:r>
      <w:r>
        <w:rPr>
          <w:color w:val="000000"/>
        </w:rPr>
        <w:t>medidas que atiendan a un cambio de control o que concedan la posibilidad de ejercer influencia decisiva sobre una empresa de destino.</w:t>
      </w:r>
      <w:r w:rsidR="00481796">
        <w:rPr>
          <w:color w:val="000000"/>
        </w:rPr>
        <w:t xml:space="preserve"> </w:t>
      </w:r>
      <w:r w:rsidR="00B15788">
        <w:rPr>
          <w:color w:val="000000"/>
        </w:rPr>
        <w:t>E</w:t>
      </w:r>
      <w:r>
        <w:rPr>
          <w:color w:val="000000"/>
        </w:rPr>
        <w:t xml:space="preserve">n vez de establecer criterios para determinar el alcance de </w:t>
      </w:r>
      <w:r w:rsidR="00B15788">
        <w:rPr>
          <w:color w:val="000000"/>
        </w:rPr>
        <w:t>la</w:t>
      </w:r>
      <w:r>
        <w:rPr>
          <w:color w:val="000000"/>
        </w:rPr>
        <w:t xml:space="preserve"> obligación de suspensión, propuso una definición negativa para delimitar el ámbito de aplicación</w:t>
      </w:r>
      <w:r w:rsidR="00481796">
        <w:rPr>
          <w:color w:val="000000"/>
        </w:rPr>
        <w:t xml:space="preserve"> y sugirió</w:t>
      </w:r>
      <w:r>
        <w:rPr>
          <w:color w:val="000000"/>
        </w:rPr>
        <w:t xml:space="preserve"> que la obligación "no afecta a las medidas que, aunque adoptadas en relación con el proceso que condujo a una concentración, preceden y son separables de las medidas que realmente conduce a la adquisición de la posibilidad de ejercer influencia decisiva sobre una empresa </w:t>
      </w:r>
      <w:r>
        <w:rPr>
          <w:color w:val="000000"/>
        </w:rPr>
        <w:lastRenderedPageBreak/>
        <w:t>de destino." (Wahl 2018: párrafo 78)</w:t>
      </w:r>
      <w:r>
        <w:rPr>
          <w:color w:val="000000"/>
          <w:vertAlign w:val="superscript"/>
        </w:rPr>
        <w:footnoteReference w:id="32"/>
      </w:r>
      <w:r>
        <w:rPr>
          <w:color w:val="000000"/>
        </w:rPr>
        <w:t xml:space="preserve">. Por este motivo, consideraba que KPMG DK y Ernst &amp; Young no habrían infringido la obligación de paralización </w:t>
      </w:r>
      <w:r w:rsidR="00B15788">
        <w:rPr>
          <w:color w:val="000000"/>
        </w:rPr>
        <w:t xml:space="preserve">de la operación </w:t>
      </w:r>
      <w:r>
        <w:rPr>
          <w:color w:val="000000"/>
        </w:rPr>
        <w:t>a través del finalización de la cooperación de KPMG DK con KPMG International</w:t>
      </w:r>
      <w:r w:rsidR="00B15788">
        <w:rPr>
          <w:color w:val="000000"/>
        </w:rPr>
        <w:t xml:space="preserve">, dado que, </w:t>
      </w:r>
      <w:r>
        <w:rPr>
          <w:color w:val="000000"/>
        </w:rPr>
        <w:t>si bien</w:t>
      </w:r>
      <w:r w:rsidR="00B15788">
        <w:rPr>
          <w:color w:val="000000"/>
        </w:rPr>
        <w:t xml:space="preserve"> dicho acto constituía</w:t>
      </w:r>
      <w:r>
        <w:rPr>
          <w:color w:val="000000"/>
        </w:rPr>
        <w:t xml:space="preserve"> un requisito previo </w:t>
      </w:r>
      <w:r w:rsidR="00B15788">
        <w:rPr>
          <w:color w:val="000000"/>
        </w:rPr>
        <w:t xml:space="preserve">y </w:t>
      </w:r>
      <w:r>
        <w:rPr>
          <w:color w:val="000000"/>
        </w:rPr>
        <w:t>necesario para la realización de la concentración, no contribuyó a un cambio en el control</w:t>
      </w:r>
      <w:r w:rsidR="00B15788">
        <w:rPr>
          <w:color w:val="000000"/>
        </w:rPr>
        <w:t xml:space="preserve"> ni implicó </w:t>
      </w:r>
      <w:r>
        <w:rPr>
          <w:color w:val="000000"/>
        </w:rPr>
        <w:t xml:space="preserve">la posibilidad de </w:t>
      </w:r>
      <w:r w:rsidR="00B15788">
        <w:rPr>
          <w:color w:val="000000"/>
        </w:rPr>
        <w:t xml:space="preserve">EY de </w:t>
      </w:r>
      <w:r>
        <w:rPr>
          <w:color w:val="000000"/>
        </w:rPr>
        <w:t>ejercer una influencia decisiva en KPMG DK</w:t>
      </w:r>
      <w:r w:rsidR="00B15788">
        <w:rPr>
          <w:color w:val="000000"/>
        </w:rPr>
        <w:t>. Por lo expuesto, a criterio del Abogado General,</w:t>
      </w:r>
      <w:r>
        <w:rPr>
          <w:color w:val="000000"/>
        </w:rPr>
        <w:t xml:space="preserve"> no existió una implementación anticipada de la operación</w:t>
      </w:r>
      <w:r w:rsidR="00B15788">
        <w:rPr>
          <w:color w:val="000000"/>
        </w:rPr>
        <w:t xml:space="preserve"> materia de discusión</w:t>
      </w:r>
      <w:r>
        <w:rPr>
          <w:color w:val="000000"/>
        </w:rPr>
        <w:t xml:space="preserve">. </w:t>
      </w:r>
    </w:p>
    <w:p w:rsidR="002355F1" w:rsidRDefault="004A6C6E" w:rsidP="00D936C4">
      <w:pPr>
        <w:pBdr>
          <w:bottom w:val="none" w:sz="0" w:space="6" w:color="000000"/>
        </w:pBdr>
        <w:spacing w:after="220" w:line="360" w:lineRule="auto"/>
        <w:jc w:val="both"/>
        <w:rPr>
          <w:color w:val="000000"/>
        </w:rPr>
      </w:pPr>
      <w:r>
        <w:rPr>
          <w:color w:val="000000"/>
        </w:rPr>
        <w:t>Mediante pronunciamiento del 31 de mayo de 2018, e</w:t>
      </w:r>
      <w:r w:rsidR="00046522">
        <w:rPr>
          <w:color w:val="000000"/>
        </w:rPr>
        <w:t>l</w:t>
      </w:r>
      <w:r w:rsidR="005A478B">
        <w:rPr>
          <w:color w:val="000000"/>
        </w:rPr>
        <w:t xml:space="preserve"> Tribunal de Justicia</w:t>
      </w:r>
      <w:r w:rsidR="0076454D">
        <w:rPr>
          <w:color w:val="000000"/>
        </w:rPr>
        <w:t xml:space="preserve"> coincidió con lo expuesto por el Abogado Wahl y </w:t>
      </w:r>
      <w:r w:rsidR="005A478B">
        <w:rPr>
          <w:color w:val="000000"/>
        </w:rPr>
        <w:t xml:space="preserve">determinó que para definir </w:t>
      </w:r>
      <w:r w:rsidR="0076454D">
        <w:rPr>
          <w:color w:val="000000"/>
        </w:rPr>
        <w:t>la trasgresión</w:t>
      </w:r>
      <w:r w:rsidR="005A478B">
        <w:rPr>
          <w:color w:val="000000"/>
        </w:rPr>
        <w:t xml:space="preserve"> de la obligación de no implementación, </w:t>
      </w:r>
      <w:r w:rsidR="0076454D">
        <w:rPr>
          <w:color w:val="000000"/>
        </w:rPr>
        <w:t xml:space="preserve">deberá observarse </w:t>
      </w:r>
      <w:r w:rsidR="005A478B">
        <w:rPr>
          <w:color w:val="000000"/>
        </w:rPr>
        <w:t>si la transacción en cuestión contribuy</w:t>
      </w:r>
      <w:r w:rsidR="00481796">
        <w:rPr>
          <w:color w:val="000000"/>
        </w:rPr>
        <w:t>ó</w:t>
      </w:r>
      <w:r w:rsidR="005A478B">
        <w:rPr>
          <w:color w:val="000000"/>
        </w:rPr>
        <w:t xml:space="preserve"> al cambio de control. </w:t>
      </w:r>
      <w:r>
        <w:rPr>
          <w:color w:val="000000"/>
        </w:rPr>
        <w:t>En caso nos</w:t>
      </w:r>
      <w:r w:rsidR="005A478B">
        <w:rPr>
          <w:color w:val="000000"/>
        </w:rPr>
        <w:t xml:space="preserve"> encontr</w:t>
      </w:r>
      <w:r>
        <w:rPr>
          <w:color w:val="000000"/>
        </w:rPr>
        <w:t>e</w:t>
      </w:r>
      <w:r w:rsidR="005A478B">
        <w:rPr>
          <w:color w:val="000000"/>
        </w:rPr>
        <w:t xml:space="preserve">mos, a criterio del Tribunal de Justicia, frente a actos que pese a haber sido realizados en el marco de una operación de concentración, no </w:t>
      </w:r>
      <w:r w:rsidR="00834CAA">
        <w:rPr>
          <w:color w:val="000000"/>
        </w:rPr>
        <w:t>eran</w:t>
      </w:r>
      <w:r w:rsidR="005A478B">
        <w:rPr>
          <w:color w:val="000000"/>
        </w:rPr>
        <w:t xml:space="preserve"> necesarios para el cambio de control, estos no deberían ser considerados como infracciones a la obligación de no implementar y no socava</w:t>
      </w:r>
      <w:r w:rsidR="00834CAA">
        <w:rPr>
          <w:color w:val="000000"/>
        </w:rPr>
        <w:t>ba</w:t>
      </w:r>
      <w:r w:rsidR="005A478B">
        <w:rPr>
          <w:color w:val="000000"/>
        </w:rPr>
        <w:t>n la eficacia del control de concentraciones (Tribunal de Justicia 2018)</w:t>
      </w:r>
      <w:r w:rsidR="005A478B">
        <w:rPr>
          <w:color w:val="000000"/>
          <w:vertAlign w:val="superscript"/>
        </w:rPr>
        <w:footnoteReference w:id="33"/>
      </w:r>
      <w:r w:rsidR="005A478B">
        <w:rPr>
          <w:color w:val="000000"/>
        </w:rPr>
        <w:t xml:space="preserve">. </w:t>
      </w:r>
    </w:p>
    <w:p w:rsidR="002355F1" w:rsidRDefault="005A478B" w:rsidP="00D936C4">
      <w:pPr>
        <w:pBdr>
          <w:bottom w:val="none" w:sz="0" w:space="6" w:color="000000"/>
        </w:pBdr>
        <w:spacing w:after="220" w:line="360" w:lineRule="auto"/>
        <w:jc w:val="both"/>
        <w:rPr>
          <w:color w:val="000000"/>
        </w:rPr>
      </w:pPr>
      <w:r>
        <w:rPr>
          <w:color w:val="000000"/>
        </w:rPr>
        <w:t>Entonces, lo que nos presenta la realidad de la obligación de suspensión de la implementación, actualmente, es que esta no depende del clásico triple análisis: vinculación a la concentración, irreversibilidad y potenciales efectos en el mercado</w:t>
      </w:r>
      <w:r w:rsidR="00834CAA">
        <w:rPr>
          <w:color w:val="000000"/>
        </w:rPr>
        <w:t>. S</w:t>
      </w:r>
      <w:r>
        <w:rPr>
          <w:color w:val="000000"/>
        </w:rPr>
        <w:t xml:space="preserve">i buscamos detectar una infracción a la obligación de suspensión, </w:t>
      </w:r>
      <w:r w:rsidR="00834CAA">
        <w:rPr>
          <w:color w:val="000000"/>
        </w:rPr>
        <w:t xml:space="preserve">la propuesta nueva implica detectar que </w:t>
      </w:r>
      <w:r>
        <w:rPr>
          <w:color w:val="000000"/>
        </w:rPr>
        <w:t>este acto haya</w:t>
      </w:r>
      <w:r w:rsidR="00834CAA">
        <w:rPr>
          <w:color w:val="000000"/>
        </w:rPr>
        <w:t>,</w:t>
      </w:r>
      <w:r>
        <w:rPr>
          <w:color w:val="000000"/>
        </w:rPr>
        <w:t xml:space="preserve"> indefectiblemente</w:t>
      </w:r>
      <w:r w:rsidR="00834CAA">
        <w:rPr>
          <w:color w:val="000000"/>
        </w:rPr>
        <w:t>,</w:t>
      </w:r>
      <w:r>
        <w:rPr>
          <w:color w:val="000000"/>
        </w:rPr>
        <w:t xml:space="preserve"> incidido en un cambio de control.</w:t>
      </w:r>
      <w:r w:rsidR="00BC48BE">
        <w:rPr>
          <w:color w:val="000000"/>
        </w:rPr>
        <w:t xml:space="preserve"> Solo a partir de este cambio en la estructura de control podemos hablar de una infracción a la obligación de suspensión.</w:t>
      </w:r>
    </w:p>
    <w:p w:rsidR="002355F1" w:rsidRDefault="005A478B" w:rsidP="00123ED2">
      <w:pPr>
        <w:pStyle w:val="Ttulo5"/>
        <w:numPr>
          <w:ilvl w:val="3"/>
          <w:numId w:val="3"/>
        </w:numPr>
        <w:spacing w:line="360" w:lineRule="auto"/>
        <w:rPr>
          <w:color w:val="000000"/>
          <w:sz w:val="24"/>
          <w:szCs w:val="24"/>
        </w:rPr>
      </w:pPr>
      <w:bookmarkStart w:id="38" w:name="_Toc47387745"/>
      <w:r>
        <w:rPr>
          <w:color w:val="000000"/>
          <w:sz w:val="24"/>
          <w:szCs w:val="24"/>
        </w:rPr>
        <w:t>¿Cuál es el estándar en Perú?</w:t>
      </w:r>
      <w:bookmarkEnd w:id="38"/>
    </w:p>
    <w:p w:rsidR="00981A85" w:rsidRPr="00981A85" w:rsidRDefault="00981A85" w:rsidP="00981A85"/>
    <w:p w:rsidR="008062D1" w:rsidRDefault="008062D1" w:rsidP="00D936C4">
      <w:pPr>
        <w:spacing w:line="360" w:lineRule="auto"/>
        <w:jc w:val="both"/>
        <w:rPr>
          <w:color w:val="000000"/>
        </w:rPr>
      </w:pPr>
      <w:r>
        <w:rPr>
          <w:color w:val="000000"/>
        </w:rPr>
        <w:t xml:space="preserve">La </w:t>
      </w:r>
      <w:r w:rsidR="005A478B">
        <w:rPr>
          <w:color w:val="000000"/>
        </w:rPr>
        <w:t xml:space="preserve">obligación de no perfeccionar la concentración u obligación de suspensión se encuentra en el artículo 3 de la Ley 26876, </w:t>
      </w:r>
      <w:r>
        <w:rPr>
          <w:color w:val="000000"/>
        </w:rPr>
        <w:t>la</w:t>
      </w:r>
      <w:r w:rsidR="005A478B">
        <w:rPr>
          <w:color w:val="000000"/>
        </w:rPr>
        <w:t xml:space="preserve"> cual somete la realización de actos de concentración en las actividades de generación y/o de transmisión y/o de distribución de energía, a la autorización previa d</w:t>
      </w:r>
      <w:r>
        <w:rPr>
          <w:color w:val="000000"/>
        </w:rPr>
        <w:t>el Indecopi</w:t>
      </w:r>
      <w:r w:rsidR="005A478B">
        <w:rPr>
          <w:color w:val="000000"/>
        </w:rPr>
        <w:t xml:space="preserve">, y añade como consecuencia que, sin esta aprobación, dichas </w:t>
      </w:r>
      <w:r w:rsidR="005A478B">
        <w:rPr>
          <w:color w:val="000000"/>
        </w:rPr>
        <w:lastRenderedPageBreak/>
        <w:t xml:space="preserve">operaciones no podrán realizarse, </w:t>
      </w:r>
      <w:r>
        <w:rPr>
          <w:color w:val="000000"/>
        </w:rPr>
        <w:t>y,</w:t>
      </w:r>
      <w:r w:rsidR="005A478B">
        <w:rPr>
          <w:color w:val="000000"/>
        </w:rPr>
        <w:t xml:space="preserve"> en caso se realicen sin autorización,</w:t>
      </w:r>
      <w:r>
        <w:rPr>
          <w:color w:val="000000"/>
        </w:rPr>
        <w:t xml:space="preserve"> carecerán de afectos legales.</w:t>
      </w:r>
    </w:p>
    <w:p w:rsidR="002355F1" w:rsidRDefault="008062D1" w:rsidP="00D936C4">
      <w:pPr>
        <w:spacing w:line="360" w:lineRule="auto"/>
        <w:jc w:val="both"/>
      </w:pPr>
      <w:r>
        <w:t xml:space="preserve"> </w:t>
      </w:r>
    </w:p>
    <w:p w:rsidR="002355F1" w:rsidRDefault="005A478B" w:rsidP="00D936C4">
      <w:pPr>
        <w:spacing w:line="360" w:lineRule="auto"/>
        <w:jc w:val="both"/>
        <w:rPr>
          <w:color w:val="000000"/>
        </w:rPr>
      </w:pPr>
      <w:r>
        <w:rPr>
          <w:color w:val="000000"/>
        </w:rPr>
        <w:t xml:space="preserve">Al igual que </w:t>
      </w:r>
      <w:r w:rsidR="000746B3">
        <w:rPr>
          <w:color w:val="000000"/>
        </w:rPr>
        <w:t xml:space="preserve">en </w:t>
      </w:r>
      <w:r>
        <w:rPr>
          <w:color w:val="000000"/>
        </w:rPr>
        <w:t>los inicios de la Unión Europea, el análisis de la implementación de concentración no incid</w:t>
      </w:r>
      <w:r w:rsidR="000746B3">
        <w:rPr>
          <w:color w:val="000000"/>
        </w:rPr>
        <w:t>ió</w:t>
      </w:r>
      <w:r>
        <w:rPr>
          <w:color w:val="000000"/>
        </w:rPr>
        <w:t xml:space="preserve"> en probar cambios en la estructura de control</w:t>
      </w:r>
      <w:r w:rsidR="000746B3">
        <w:rPr>
          <w:color w:val="000000"/>
        </w:rPr>
        <w:t xml:space="preserve"> y la autoridad se enfocó en la</w:t>
      </w:r>
      <w:r>
        <w:rPr>
          <w:color w:val="000000"/>
        </w:rPr>
        <w:t xml:space="preserve"> sola realización de un acto que por apariencia o declaración se</w:t>
      </w:r>
      <w:r>
        <w:t xml:space="preserve">a posible identificar como </w:t>
      </w:r>
      <w:r>
        <w:rPr>
          <w:color w:val="000000"/>
        </w:rPr>
        <w:t xml:space="preserve">una concentración. Es así que, en </w:t>
      </w:r>
      <w:r w:rsidR="000746B3">
        <w:rPr>
          <w:color w:val="000000"/>
        </w:rPr>
        <w:t>la motivación d</w:t>
      </w:r>
      <w:r>
        <w:rPr>
          <w:color w:val="000000"/>
        </w:rPr>
        <w:t>e las Resoluciones del caso materia de Informe, Resolución 051-2009/CLC-INDECOPI y  Resolución 001-2010/CLC-INDECOPI, ambas de la Comisión de Defensa de la Libre Competencia, se observa que la autoridad justifica el inicio del procedimiento sancionador y posterior sanción en primera instancia</w:t>
      </w:r>
      <w:r w:rsidR="000746B3">
        <w:rPr>
          <w:color w:val="000000"/>
        </w:rPr>
        <w:t xml:space="preserve"> en</w:t>
      </w:r>
      <w:r>
        <w:rPr>
          <w:color w:val="000000"/>
        </w:rPr>
        <w:t xml:space="preserve"> </w:t>
      </w:r>
      <w:r w:rsidR="000746B3">
        <w:rPr>
          <w:color w:val="000000"/>
        </w:rPr>
        <w:t>los</w:t>
      </w:r>
      <w:r>
        <w:rPr>
          <w:color w:val="000000"/>
        </w:rPr>
        <w:t xml:space="preserve"> comunic</w:t>
      </w:r>
      <w:r w:rsidR="000746B3">
        <w:rPr>
          <w:color w:val="000000"/>
        </w:rPr>
        <w:t xml:space="preserve">aciones realizadas por </w:t>
      </w:r>
      <w:r>
        <w:rPr>
          <w:color w:val="000000"/>
        </w:rPr>
        <w:t xml:space="preserve">las empresas involucradas en la transacción </w:t>
      </w:r>
      <w:r w:rsidR="000746B3">
        <w:rPr>
          <w:color w:val="000000"/>
        </w:rPr>
        <w:t xml:space="preserve">a </w:t>
      </w:r>
      <w:r>
        <w:rPr>
          <w:color w:val="000000"/>
        </w:rPr>
        <w:t xml:space="preserve">la Comisión Nacional de Mercado de Valores de España. Para la Comisión, </w:t>
      </w:r>
      <w:r w:rsidR="000746B3">
        <w:rPr>
          <w:color w:val="000000"/>
        </w:rPr>
        <w:t>dichos</w:t>
      </w:r>
      <w:r>
        <w:rPr>
          <w:color w:val="000000"/>
        </w:rPr>
        <w:t xml:space="preserve"> comunicados constituían indicios </w:t>
      </w:r>
      <w:r>
        <w:rPr>
          <w:color w:val="000000"/>
          <w:u w:val="single"/>
        </w:rPr>
        <w:t>suficientes</w:t>
      </w:r>
      <w:r>
        <w:rPr>
          <w:color w:val="000000"/>
        </w:rPr>
        <w:t xml:space="preserve"> de la presunta realización de una infracción y del cambio en la estructura de control de las empresas del sector eléctrico peruano. </w:t>
      </w:r>
    </w:p>
    <w:p w:rsidR="002355F1" w:rsidRDefault="002355F1" w:rsidP="00D936C4">
      <w:pPr>
        <w:spacing w:line="360" w:lineRule="auto"/>
        <w:jc w:val="both"/>
      </w:pPr>
    </w:p>
    <w:p w:rsidR="002355F1" w:rsidRDefault="005A478B" w:rsidP="00D936C4">
      <w:pPr>
        <w:spacing w:line="360" w:lineRule="auto"/>
        <w:jc w:val="both"/>
        <w:rPr>
          <w:color w:val="000000"/>
        </w:rPr>
      </w:pPr>
      <w:r>
        <w:rPr>
          <w:color w:val="000000"/>
        </w:rPr>
        <w:t>Al respecto, en su Resolución 001-2010/CLC-INDECOPI, la Comisión resuelve fundamentando que los comunicados publicados en la CNMV eran evidencia</w:t>
      </w:r>
      <w:r w:rsidR="000A6B1C">
        <w:rPr>
          <w:color w:val="000000"/>
        </w:rPr>
        <w:t xml:space="preserve"> irrefutable de </w:t>
      </w:r>
      <w:r>
        <w:rPr>
          <w:color w:val="000000"/>
        </w:rPr>
        <w:t xml:space="preserve">la realización del acto de concentración antes de su decisión </w:t>
      </w:r>
      <w:r w:rsidR="00E56602">
        <w:rPr>
          <w:color w:val="000000"/>
        </w:rPr>
        <w:t xml:space="preserve">y como único </w:t>
      </w:r>
      <w:r>
        <w:rPr>
          <w:color w:val="000000"/>
        </w:rPr>
        <w:t xml:space="preserve">punto </w:t>
      </w:r>
      <w:r w:rsidR="00E56602">
        <w:rPr>
          <w:color w:val="000000"/>
        </w:rPr>
        <w:t xml:space="preserve">a discutir, </w:t>
      </w:r>
      <w:r>
        <w:rPr>
          <w:color w:val="000000"/>
        </w:rPr>
        <w:t xml:space="preserve">los efectos </w:t>
      </w:r>
      <w:r w:rsidR="00E56602">
        <w:rPr>
          <w:color w:val="000000"/>
        </w:rPr>
        <w:t>del acto de concentración</w:t>
      </w:r>
      <w:r>
        <w:rPr>
          <w:color w:val="000000"/>
        </w:rPr>
        <w:t xml:space="preserve">. </w:t>
      </w:r>
      <w:r w:rsidR="00E56602">
        <w:rPr>
          <w:color w:val="000000"/>
        </w:rPr>
        <w:t>La Comisión consideró pertinente</w:t>
      </w:r>
      <w:r w:rsidR="009055ED">
        <w:rPr>
          <w:color w:val="000000"/>
        </w:rPr>
        <w:t xml:space="preserve"> remarcar</w:t>
      </w:r>
      <w:r>
        <w:rPr>
          <w:color w:val="000000"/>
        </w:rPr>
        <w:t xml:space="preserve"> que la Ley de Concentraciones no requiere, para resolver si hay o no conducta infractora, el ejercicio de control y que éste tenga efectos propios, sino </w:t>
      </w:r>
      <w:r w:rsidR="009055ED">
        <w:rPr>
          <w:color w:val="000000"/>
        </w:rPr>
        <w:t xml:space="preserve">que la norma se central en verificar </w:t>
      </w:r>
      <w:r>
        <w:rPr>
          <w:color w:val="000000"/>
        </w:rPr>
        <w:t xml:space="preserve">la mera potencialidad del ejercicio de control. Por </w:t>
      </w:r>
      <w:r w:rsidR="009055ED">
        <w:rPr>
          <w:color w:val="000000"/>
        </w:rPr>
        <w:t>el</w:t>
      </w:r>
      <w:r>
        <w:rPr>
          <w:color w:val="000000"/>
        </w:rPr>
        <w:t xml:space="preserve"> razonamiento</w:t>
      </w:r>
      <w:r w:rsidR="009055ED">
        <w:rPr>
          <w:color w:val="000000"/>
        </w:rPr>
        <w:t xml:space="preserve"> previo</w:t>
      </w:r>
      <w:r>
        <w:rPr>
          <w:color w:val="000000"/>
        </w:rPr>
        <w:t xml:space="preserve">, la Comisión consideró suficiente la verificación del incumplimiento del presupuesto legal contenido en el artículo 6 de la Ley de Concentraciones, es decir, </w:t>
      </w:r>
      <w:r w:rsidR="009055ED">
        <w:rPr>
          <w:color w:val="000000"/>
        </w:rPr>
        <w:t>la realización</w:t>
      </w:r>
      <w:r>
        <w:rPr>
          <w:color w:val="000000"/>
        </w:rPr>
        <w:t xml:space="preserve"> el acto de concentración luego de presentada la solicitud pero antes de la decisión de la Comisión, sin </w:t>
      </w:r>
      <w:r w:rsidR="009055ED">
        <w:rPr>
          <w:color w:val="000000"/>
        </w:rPr>
        <w:t xml:space="preserve">considerar necesario </w:t>
      </w:r>
      <w:r>
        <w:rPr>
          <w:color w:val="000000"/>
        </w:rPr>
        <w:t>verificar los efectos del mismo en el sector eléctrico peruano.</w:t>
      </w:r>
    </w:p>
    <w:p w:rsidR="002355F1" w:rsidRDefault="002355F1" w:rsidP="00D936C4">
      <w:pPr>
        <w:spacing w:line="360" w:lineRule="auto"/>
        <w:jc w:val="both"/>
      </w:pPr>
    </w:p>
    <w:p w:rsidR="002355F1" w:rsidRDefault="005A478B" w:rsidP="00D936C4">
      <w:pPr>
        <w:spacing w:line="360" w:lineRule="auto"/>
        <w:jc w:val="both"/>
        <w:rPr>
          <w:b/>
          <w:color w:val="000000"/>
        </w:rPr>
      </w:pPr>
      <w:r>
        <w:rPr>
          <w:color w:val="000000"/>
        </w:rPr>
        <w:t xml:space="preserve">El acto de concentración y los efectos, para la Comisión, son indisolubles y son estos consumados automáticamente en tanto pueda verificarse un cambio </w:t>
      </w:r>
      <w:r w:rsidRPr="009055ED">
        <w:rPr>
          <w:color w:val="000000"/>
          <w:u w:val="single"/>
        </w:rPr>
        <w:t>duradero y</w:t>
      </w:r>
      <w:r>
        <w:rPr>
          <w:color w:val="000000"/>
          <w:u w:val="single"/>
        </w:rPr>
        <w:t xml:space="preserve"> permanente,</w:t>
      </w:r>
      <w:r>
        <w:rPr>
          <w:b/>
          <w:color w:val="000000"/>
          <w:u w:val="single"/>
        </w:rPr>
        <w:t xml:space="preserve"> </w:t>
      </w:r>
      <w:r>
        <w:rPr>
          <w:color w:val="000000"/>
          <w:u w:val="single"/>
        </w:rPr>
        <w:t xml:space="preserve">en la estructura de control de la empresa o empresas afectadas, </w:t>
      </w:r>
      <w:r w:rsidRPr="009055ED">
        <w:rPr>
          <w:color w:val="000000"/>
        </w:rPr>
        <w:t>es decir, que</w:t>
      </w:r>
      <w:r>
        <w:rPr>
          <w:color w:val="000000"/>
        </w:rPr>
        <w:t xml:space="preserve"> la autoridad solo requiere se creen las condiciones para ejercer </w:t>
      </w:r>
      <w:r>
        <w:rPr>
          <w:color w:val="000000"/>
          <w:u w:val="single"/>
        </w:rPr>
        <w:t>potencialmente</w:t>
      </w:r>
      <w:r>
        <w:rPr>
          <w:color w:val="000000"/>
        </w:rPr>
        <w:t xml:space="preserve"> </w:t>
      </w:r>
      <w:r>
        <w:rPr>
          <w:b/>
          <w:color w:val="000000"/>
        </w:rPr>
        <w:t xml:space="preserve">una influencia decisiva  sobre  </w:t>
      </w:r>
      <w:r>
        <w:rPr>
          <w:b/>
          <w:color w:val="000000"/>
        </w:rPr>
        <w:lastRenderedPageBreak/>
        <w:t>las decisiones estratégicas y comerciales relevantes del o los agentes involucrados, sin que sea necesario que se ejerza efectivamente dicho poder de decisión.</w:t>
      </w:r>
    </w:p>
    <w:p w:rsidR="009055ED" w:rsidRDefault="009055ED" w:rsidP="00D936C4">
      <w:pPr>
        <w:spacing w:line="360" w:lineRule="auto"/>
        <w:jc w:val="both"/>
        <w:rPr>
          <w:color w:val="000000"/>
        </w:rPr>
      </w:pPr>
    </w:p>
    <w:p w:rsidR="002355F1" w:rsidRDefault="005A478B" w:rsidP="00D936C4">
      <w:pPr>
        <w:pBdr>
          <w:bottom w:val="none" w:sz="0" w:space="6" w:color="000000"/>
        </w:pBdr>
        <w:spacing w:after="220" w:line="360" w:lineRule="auto"/>
        <w:jc w:val="both"/>
        <w:rPr>
          <w:color w:val="000000"/>
        </w:rPr>
      </w:pPr>
      <w:r>
        <w:rPr>
          <w:color w:val="000000"/>
        </w:rPr>
        <w:t>La interpretación del artículo 6 propuesta por la Comisión</w:t>
      </w:r>
      <w:r>
        <w:t>, entonces,</w:t>
      </w:r>
      <w:r>
        <w:rPr>
          <w:color w:val="000000"/>
        </w:rPr>
        <w:t xml:space="preserve"> solo requiere la identificación de un acto </w:t>
      </w:r>
      <w:r w:rsidR="002E7F2F">
        <w:rPr>
          <w:color w:val="000000"/>
        </w:rPr>
        <w:t>que vincule a</w:t>
      </w:r>
      <w:r>
        <w:rPr>
          <w:color w:val="000000"/>
        </w:rPr>
        <w:t xml:space="preserve"> los participantes de la operación y no amerita</w:t>
      </w:r>
      <w:r>
        <w:t xml:space="preserve"> </w:t>
      </w:r>
      <w:r>
        <w:rPr>
          <w:color w:val="000000"/>
        </w:rPr>
        <w:t xml:space="preserve">un posterior análisis sobre los efectos en la estructura de las empresas del sector eléctrico peruano. La ausencia de </w:t>
      </w:r>
      <w:r w:rsidR="002E7F2F">
        <w:rPr>
          <w:color w:val="000000"/>
        </w:rPr>
        <w:t xml:space="preserve">dicho </w:t>
      </w:r>
      <w:r>
        <w:rPr>
          <w:color w:val="000000"/>
        </w:rPr>
        <w:t xml:space="preserve">análisis nos llevaría a concluir que la Comisión considera el solo contacto entre los agentes competidores durante la tramitación de la autorización </w:t>
      </w:r>
      <w:r w:rsidR="002E7F2F">
        <w:rPr>
          <w:color w:val="000000"/>
        </w:rPr>
        <w:t>como</w:t>
      </w:r>
      <w:r>
        <w:rPr>
          <w:color w:val="000000"/>
        </w:rPr>
        <w:t xml:space="preserve"> una transgresión a la obligación de suspensión.</w:t>
      </w:r>
    </w:p>
    <w:p w:rsidR="002355F1" w:rsidRDefault="005A478B" w:rsidP="00123ED2">
      <w:pPr>
        <w:pStyle w:val="Ttulo5"/>
        <w:numPr>
          <w:ilvl w:val="3"/>
          <w:numId w:val="3"/>
        </w:numPr>
        <w:spacing w:line="360" w:lineRule="auto"/>
        <w:rPr>
          <w:color w:val="000000"/>
          <w:sz w:val="24"/>
          <w:szCs w:val="24"/>
        </w:rPr>
      </w:pPr>
      <w:bookmarkStart w:id="39" w:name="_Toc47387746"/>
      <w:r>
        <w:rPr>
          <w:color w:val="000000"/>
          <w:sz w:val="24"/>
          <w:szCs w:val="24"/>
        </w:rPr>
        <w:t>Postura</w:t>
      </w:r>
      <w:bookmarkEnd w:id="39"/>
    </w:p>
    <w:p w:rsidR="00363291" w:rsidRPr="00363291" w:rsidRDefault="00363291" w:rsidP="00363291"/>
    <w:p w:rsidR="002355F1" w:rsidRDefault="005A478B" w:rsidP="00D936C4">
      <w:pPr>
        <w:pBdr>
          <w:bottom w:val="none" w:sz="0" w:space="6" w:color="000000"/>
        </w:pBdr>
        <w:spacing w:after="220" w:line="360" w:lineRule="auto"/>
        <w:jc w:val="both"/>
        <w:rPr>
          <w:color w:val="000000"/>
        </w:rPr>
      </w:pPr>
      <w:r>
        <w:rPr>
          <w:color w:val="000000"/>
        </w:rPr>
        <w:t xml:space="preserve">Con el objetivo de alcanzar una interpretación acorde al objetivo </w:t>
      </w:r>
      <w:r w:rsidR="00363291">
        <w:rPr>
          <w:color w:val="000000"/>
        </w:rPr>
        <w:t>que resguarda el control</w:t>
      </w:r>
      <w:r>
        <w:rPr>
          <w:color w:val="000000"/>
        </w:rPr>
        <w:t xml:space="preserve"> previ</w:t>
      </w:r>
      <w:r w:rsidR="00363291">
        <w:rPr>
          <w:color w:val="000000"/>
        </w:rPr>
        <w:t>o</w:t>
      </w:r>
      <w:r>
        <w:rPr>
          <w:color w:val="000000"/>
        </w:rPr>
        <w:t xml:space="preserve"> de concentraciones, es necesario no solo encontrar medidas que resguarden los intereses de la política de competencia, sino que, acorde a la realidad de las operaciones comerciales e intereses de los administrados, las autoridades consideren nuevas interpretaciones respecto a las obligaciones de los agentes. </w:t>
      </w:r>
    </w:p>
    <w:p w:rsidR="002355F1" w:rsidRDefault="00A27E97" w:rsidP="00D936C4">
      <w:pPr>
        <w:pBdr>
          <w:bottom w:val="none" w:sz="0" w:space="6" w:color="000000"/>
        </w:pBdr>
        <w:spacing w:after="220" w:line="360" w:lineRule="auto"/>
        <w:jc w:val="both"/>
        <w:rPr>
          <w:color w:val="000000"/>
        </w:rPr>
      </w:pPr>
      <w:r>
        <w:rPr>
          <w:color w:val="000000"/>
        </w:rPr>
        <w:t xml:space="preserve">Es importante atender, además, que </w:t>
      </w:r>
      <w:r w:rsidR="005A478B">
        <w:rPr>
          <w:color w:val="000000"/>
        </w:rPr>
        <w:t xml:space="preserve">la experiencia comparada en derecho de la competencia </w:t>
      </w:r>
      <w:r>
        <w:rPr>
          <w:color w:val="000000"/>
        </w:rPr>
        <w:t>nos h</w:t>
      </w:r>
      <w:r w:rsidR="005A478B">
        <w:rPr>
          <w:color w:val="000000"/>
        </w:rPr>
        <w:t xml:space="preserve">a </w:t>
      </w:r>
      <w:r>
        <w:rPr>
          <w:color w:val="000000"/>
        </w:rPr>
        <w:t xml:space="preserve">mostrado </w:t>
      </w:r>
      <w:r w:rsidR="005A478B">
        <w:rPr>
          <w:color w:val="000000"/>
        </w:rPr>
        <w:t xml:space="preserve">una nueva perspectiva donde no toda interacción entre los agentes de forma previa a la autorización de la operación representa una consolidación de una concentración. </w:t>
      </w:r>
    </w:p>
    <w:p w:rsidR="002355F1" w:rsidRDefault="005A478B" w:rsidP="00D936C4">
      <w:pPr>
        <w:pBdr>
          <w:bottom w:val="none" w:sz="0" w:space="6" w:color="000000"/>
        </w:pBdr>
        <w:spacing w:after="220" w:line="360" w:lineRule="auto"/>
        <w:jc w:val="both"/>
        <w:rPr>
          <w:color w:val="000000"/>
        </w:rPr>
      </w:pPr>
      <w:r>
        <w:rPr>
          <w:color w:val="000000"/>
        </w:rPr>
        <w:t>La pregunta persiste: ¿cuándo se considera realizado un acto que implique adelantarse a la autoridad?. A modo de ejemplo, disciplinas como el atletismo nos demuestran que el comportamiento de los atletas es observable y el atleta puede discutir con el juez a cargo si salió o no antes del disparo</w:t>
      </w:r>
      <w:r w:rsidR="00E962FB">
        <w:rPr>
          <w:color w:val="000000"/>
        </w:rPr>
        <w:t>, pero</w:t>
      </w:r>
      <w:r>
        <w:rPr>
          <w:color w:val="000000"/>
        </w:rPr>
        <w:t xml:space="preserve"> no puede alegar desconocimiento sobre qué actos implican adelantarse a la autoridad. </w:t>
      </w:r>
      <w:r w:rsidRPr="00E962FB">
        <w:rPr>
          <w:color w:val="000000"/>
          <w:u w:val="single"/>
        </w:rPr>
        <w:t xml:space="preserve">Ello no ocurre en el derecho de la competencia, donde ni la norma ni los pronunciamientos han establecido un estándar sobre lo que se debe considerar para aseverar que una concentración ha sido realizada </w:t>
      </w:r>
      <w:r>
        <w:rPr>
          <w:color w:val="000000"/>
        </w:rPr>
        <w:t xml:space="preserve">y únicamente a través de últimos pronunciamientos se ha buscado esclarecer </w:t>
      </w:r>
      <w:r w:rsidR="00E962FB">
        <w:rPr>
          <w:color w:val="000000"/>
        </w:rPr>
        <w:t>los límites necesarios en la verificación de la obligación de suspensión</w:t>
      </w:r>
      <w:r>
        <w:rPr>
          <w:color w:val="000000"/>
        </w:rPr>
        <w:t xml:space="preserve">, siendo que el fundamental es reconocer un cambio en la estructura de control, </w:t>
      </w:r>
      <w:r w:rsidR="00E962FB">
        <w:rPr>
          <w:color w:val="000000"/>
        </w:rPr>
        <w:t>tal y como ha sido</w:t>
      </w:r>
      <w:r>
        <w:rPr>
          <w:color w:val="000000"/>
        </w:rPr>
        <w:t xml:space="preserve"> expuesto en el último pronunciamiento del Tribunal de Justicia Europeo por el caso KMPG DK y Ernst &amp; Young. </w:t>
      </w:r>
    </w:p>
    <w:p w:rsidR="002355F1" w:rsidRDefault="005A478B" w:rsidP="00D936C4">
      <w:pPr>
        <w:pBdr>
          <w:bottom w:val="none" w:sz="0" w:space="6" w:color="000000"/>
        </w:pBdr>
        <w:spacing w:after="220" w:line="360" w:lineRule="auto"/>
        <w:jc w:val="both"/>
        <w:rPr>
          <w:color w:val="000000"/>
          <w:u w:val="single"/>
        </w:rPr>
      </w:pPr>
      <w:r>
        <w:rPr>
          <w:color w:val="000000"/>
        </w:rPr>
        <w:lastRenderedPageBreak/>
        <w:t>Como se desprende del caso KMPG DK</w:t>
      </w:r>
      <w:r w:rsidR="00224E00">
        <w:rPr>
          <w:color w:val="000000"/>
        </w:rPr>
        <w:t>:</w:t>
      </w:r>
      <w:r>
        <w:rPr>
          <w:color w:val="000000"/>
        </w:rPr>
        <w:t xml:space="preserve"> (i) todos los actos que se realicen en el marco de una concentración son, indefectiblemente, parte de la concentración  y este punto no añade ningún valor al análisis de si se infringió o no la obligación de suspensión; (ii) todos los actos tienen efectos en el mercado y esta es una justificación que ya no puede ser usada por las agencias de competencia, además, respecto al argumento de irreversibilidad; y, (iii) todo acto que puede incidir en la dinámica de competencia de forma negativa, la autoridad de competencia tiene la facultad de revertir la situación. Por lo </w:t>
      </w:r>
      <w:r w:rsidR="00040BA4">
        <w:rPr>
          <w:color w:val="000000"/>
        </w:rPr>
        <w:t>visto en e</w:t>
      </w:r>
      <w:r>
        <w:rPr>
          <w:color w:val="000000"/>
        </w:rPr>
        <w:t>l caso KPMG DK y Ernst &amp; Young</w:t>
      </w:r>
      <w:r w:rsidR="00040BA4">
        <w:rPr>
          <w:color w:val="000000"/>
        </w:rPr>
        <w:t>,</w:t>
      </w:r>
      <w:r>
        <w:rPr>
          <w:color w:val="000000"/>
        </w:rPr>
        <w:t xml:space="preserve">  </w:t>
      </w:r>
      <w:r w:rsidRPr="00040BA4">
        <w:rPr>
          <w:color w:val="000000"/>
          <w:u w:val="single"/>
        </w:rPr>
        <w:t>es necesari</w:t>
      </w:r>
      <w:r w:rsidR="00040BA4" w:rsidRPr="00040BA4">
        <w:rPr>
          <w:color w:val="000000"/>
          <w:u w:val="single"/>
        </w:rPr>
        <w:t>a</w:t>
      </w:r>
      <w:r w:rsidRPr="00040BA4">
        <w:rPr>
          <w:color w:val="000000"/>
          <w:u w:val="single"/>
        </w:rPr>
        <w:t xml:space="preserve"> una reinterpretación de la obligación de suspensión y que esta resida en un criterio más objetivo como es la </w:t>
      </w:r>
      <w:r w:rsidRPr="00040BA4">
        <w:rPr>
          <w:b/>
          <w:color w:val="000000"/>
        </w:rPr>
        <w:t>observancia en la realidad de la alteración del control.</w:t>
      </w:r>
      <w:r w:rsidRPr="00040BA4">
        <w:rPr>
          <w:color w:val="000000"/>
          <w:u w:val="single"/>
        </w:rPr>
        <w:t xml:space="preserve">  </w:t>
      </w:r>
    </w:p>
    <w:p w:rsidR="002355F1" w:rsidRDefault="005A478B" w:rsidP="00D936C4">
      <w:pPr>
        <w:pBdr>
          <w:bottom w:val="none" w:sz="0" w:space="6" w:color="000000"/>
        </w:pBdr>
        <w:spacing w:after="220" w:line="360" w:lineRule="auto"/>
        <w:jc w:val="both"/>
        <w:rPr>
          <w:color w:val="000000"/>
        </w:rPr>
      </w:pPr>
      <w:r>
        <w:rPr>
          <w:color w:val="000000"/>
        </w:rPr>
        <w:t xml:space="preserve">Con el nuevo criterio en mente, la infracción de adelantarse a la autoridad de competencia y proceder con el cierre de la operación es prohibida por el derecho de la competencia con el objetivo de preservar la competitividad de los mercados y asegurar que, hasta el pronunciamiento, </w:t>
      </w:r>
      <w:r w:rsidRPr="00040BA4">
        <w:rPr>
          <w:i/>
          <w:color w:val="000000"/>
        </w:rPr>
        <w:t>los actores permanezcan y actúen como agentes independientes</w:t>
      </w:r>
      <w:r>
        <w:rPr>
          <w:color w:val="000000"/>
        </w:rPr>
        <w:t xml:space="preserve">. Precauciones deben ser tomadas por los agentes en el mercado para evitar la comisión de una infracción y estas pueden ser resumidas en los siguientes puntos: </w:t>
      </w:r>
    </w:p>
    <w:p w:rsidR="002355F1" w:rsidRDefault="00040BA4" w:rsidP="00D936C4">
      <w:pPr>
        <w:numPr>
          <w:ilvl w:val="0"/>
          <w:numId w:val="19"/>
        </w:numPr>
        <w:pBdr>
          <w:bottom w:val="none" w:sz="0" w:space="6" w:color="000000"/>
        </w:pBdr>
        <w:spacing w:line="360" w:lineRule="auto"/>
        <w:jc w:val="both"/>
        <w:rPr>
          <w:color w:val="000000"/>
        </w:rPr>
      </w:pPr>
      <w:r>
        <w:rPr>
          <w:color w:val="000000"/>
        </w:rPr>
        <w:t>Los agentes deben e</w:t>
      </w:r>
      <w:r w:rsidR="005A478B">
        <w:rPr>
          <w:color w:val="000000"/>
        </w:rPr>
        <w:t xml:space="preserve">valuar las normas de cada país donde tenga impacto la operación y, de acuerdo a la obligatoriedad del sistema y los umbrales determinados, proceder con la notificación de la operación. </w:t>
      </w:r>
    </w:p>
    <w:p w:rsidR="002355F1" w:rsidRDefault="00040BA4" w:rsidP="00D936C4">
      <w:pPr>
        <w:numPr>
          <w:ilvl w:val="0"/>
          <w:numId w:val="19"/>
        </w:numPr>
        <w:pBdr>
          <w:bottom w:val="none" w:sz="0" w:space="6" w:color="000000"/>
        </w:pBdr>
        <w:spacing w:line="360" w:lineRule="auto"/>
        <w:jc w:val="both"/>
        <w:rPr>
          <w:color w:val="000000"/>
        </w:rPr>
      </w:pPr>
      <w:r>
        <w:rPr>
          <w:color w:val="000000"/>
        </w:rPr>
        <w:t>Los agentes también deben r</w:t>
      </w:r>
      <w:r w:rsidR="005A478B">
        <w:rPr>
          <w:color w:val="000000"/>
        </w:rPr>
        <w:t xml:space="preserve">estringir el flujo de información que haya sido considerada, </w:t>
      </w:r>
      <w:r>
        <w:rPr>
          <w:color w:val="000000"/>
        </w:rPr>
        <w:t>en</w:t>
      </w:r>
      <w:r w:rsidR="005A478B">
        <w:rPr>
          <w:color w:val="000000"/>
        </w:rPr>
        <w:t xml:space="preserve"> anteriores pronunciamientos de la autoridad de competencia, como competitivamente sensible. Puede alcanzar esta restricción a información sobre precios y estrategia comercial, principalmente. </w:t>
      </w:r>
    </w:p>
    <w:p w:rsidR="002355F1" w:rsidRDefault="00040BA4" w:rsidP="00D936C4">
      <w:pPr>
        <w:numPr>
          <w:ilvl w:val="0"/>
          <w:numId w:val="19"/>
        </w:numPr>
        <w:pBdr>
          <w:bottom w:val="none" w:sz="0" w:space="6" w:color="000000"/>
        </w:pBdr>
        <w:spacing w:line="360" w:lineRule="auto"/>
        <w:jc w:val="both"/>
        <w:rPr>
          <w:color w:val="000000"/>
        </w:rPr>
      </w:pPr>
      <w:r>
        <w:rPr>
          <w:color w:val="000000"/>
        </w:rPr>
        <w:t>Es posible</w:t>
      </w:r>
      <w:r w:rsidR="005A478B">
        <w:rPr>
          <w:color w:val="000000"/>
        </w:rPr>
        <w:t xml:space="preserve"> adoptar medidas como la creación de grupos de intermediación que no estén compuestos por miembros de los agentes involucrados en la operación y </w:t>
      </w:r>
      <w:r>
        <w:rPr>
          <w:color w:val="000000"/>
        </w:rPr>
        <w:t>se p</w:t>
      </w:r>
      <w:r w:rsidR="005A478B">
        <w:rPr>
          <w:color w:val="000000"/>
        </w:rPr>
        <w:t>romueva</w:t>
      </w:r>
      <w:r>
        <w:rPr>
          <w:color w:val="000000"/>
        </w:rPr>
        <w:t xml:space="preserve"> a través de este</w:t>
      </w:r>
      <w:r w:rsidR="005A478B">
        <w:rPr>
          <w:color w:val="000000"/>
        </w:rPr>
        <w:t xml:space="preserve"> el intercambio limitado de información necesaria para el cierre de la operación</w:t>
      </w:r>
      <w:r>
        <w:rPr>
          <w:color w:val="000000"/>
        </w:rPr>
        <w:t>. Esta medida debe ser previamente informada</w:t>
      </w:r>
      <w:r w:rsidR="005A478B">
        <w:rPr>
          <w:color w:val="000000"/>
        </w:rPr>
        <w:t xml:space="preserve"> a la autoridad de competencia correspondiente.</w:t>
      </w:r>
    </w:p>
    <w:p w:rsidR="002355F1" w:rsidRDefault="00040BA4" w:rsidP="00D936C4">
      <w:pPr>
        <w:numPr>
          <w:ilvl w:val="0"/>
          <w:numId w:val="19"/>
        </w:numPr>
        <w:pBdr>
          <w:bottom w:val="none" w:sz="0" w:space="6" w:color="000000"/>
        </w:pBdr>
        <w:spacing w:after="220" w:line="360" w:lineRule="auto"/>
        <w:jc w:val="both"/>
        <w:rPr>
          <w:color w:val="000000"/>
        </w:rPr>
      </w:pPr>
      <w:r>
        <w:rPr>
          <w:color w:val="000000"/>
        </w:rPr>
        <w:t xml:space="preserve">Es imprescindible que los agentes involucrados en la operación actúen como </w:t>
      </w:r>
      <w:r w:rsidR="005A478B">
        <w:rPr>
          <w:color w:val="000000"/>
        </w:rPr>
        <w:t>agentes independientes y limit</w:t>
      </w:r>
      <w:r>
        <w:rPr>
          <w:color w:val="000000"/>
        </w:rPr>
        <w:t>en</w:t>
      </w:r>
      <w:r w:rsidR="005A478B">
        <w:rPr>
          <w:color w:val="000000"/>
        </w:rPr>
        <w:t xml:space="preserve"> la cooperación hasta </w:t>
      </w:r>
      <w:r>
        <w:rPr>
          <w:color w:val="000000"/>
        </w:rPr>
        <w:t>obtener</w:t>
      </w:r>
      <w:r w:rsidR="005A478B">
        <w:rPr>
          <w:color w:val="000000"/>
        </w:rPr>
        <w:t xml:space="preserve"> la aprobaci</w:t>
      </w:r>
      <w:r w:rsidR="005A478B">
        <w:t>ón de la</w:t>
      </w:r>
      <w:r w:rsidR="005A478B">
        <w:rPr>
          <w:color w:val="000000"/>
        </w:rPr>
        <w:t xml:space="preserve"> transacción</w:t>
      </w:r>
      <w:r w:rsidR="005A478B">
        <w:t xml:space="preserve">. </w:t>
      </w:r>
    </w:p>
    <w:p w:rsidR="002355F1" w:rsidRDefault="00040BA4" w:rsidP="00D936C4">
      <w:pPr>
        <w:pBdr>
          <w:bottom w:val="none" w:sz="0" w:space="6" w:color="000000"/>
        </w:pBdr>
        <w:spacing w:after="220" w:line="360" w:lineRule="auto"/>
        <w:jc w:val="both"/>
        <w:rPr>
          <w:color w:val="000000"/>
          <w:u w:val="single"/>
        </w:rPr>
      </w:pPr>
      <w:r>
        <w:rPr>
          <w:color w:val="000000"/>
        </w:rPr>
        <w:lastRenderedPageBreak/>
        <w:t>En caso la autoridad considere que los agentes han actuado de forma contraria al control previo, es exigible que la autoridad</w:t>
      </w:r>
      <w:r w:rsidR="005A478B">
        <w:rPr>
          <w:color w:val="000000"/>
        </w:rPr>
        <w:t xml:space="preserve"> de competencia, en el análisis de la operación y al estudiar la presunta infracción, pueda </w:t>
      </w:r>
      <w:r w:rsidR="005A478B">
        <w:rPr>
          <w:color w:val="000000"/>
          <w:u w:val="single"/>
        </w:rPr>
        <w:t xml:space="preserve">demostrar fehacientemente la alteración de la estructura de control de los agentes involucrados. </w:t>
      </w:r>
    </w:p>
    <w:p w:rsidR="002355F1" w:rsidRDefault="005A478B" w:rsidP="00D936C4">
      <w:pPr>
        <w:pBdr>
          <w:bottom w:val="none" w:sz="0" w:space="6" w:color="000000"/>
        </w:pBdr>
        <w:spacing w:after="220" w:line="360" w:lineRule="auto"/>
        <w:jc w:val="both"/>
        <w:rPr>
          <w:color w:val="000000"/>
        </w:rPr>
      </w:pPr>
      <w:r>
        <w:rPr>
          <w:color w:val="000000"/>
        </w:rPr>
        <w:t>De haber sido realizado el análisis propuesto en el caso particular, el resultado habría coincidido con la imposición de una multa a Enel; sin embargo, este análisis habría incorporado elementos como la materialización de la operación cerrada en España en Perú y cómo la estructura de control de los operadores del sector eléctrico peruano bajo el control de Endesa como Edelnor, Eepsa y Edegel se vio modificada tras la adquisición del control exclusivo de Enel sobre Endesa. Aún más, cabría haber realizado la precisión que una demostración del nuevo interés preponderante en Endesa y, por tanto, en los agentes del sector peruano e</w:t>
      </w:r>
      <w:r w:rsidR="00237BCE">
        <w:rPr>
          <w:color w:val="000000"/>
        </w:rPr>
        <w:t xml:space="preserve">ra </w:t>
      </w:r>
      <w:r>
        <w:rPr>
          <w:color w:val="000000"/>
        </w:rPr>
        <w:t>la comunicación realizada por los agentes peruanos sobre la operación cerrada en España y la suspensión de los efectos de la misma en Perú.</w:t>
      </w:r>
    </w:p>
    <w:p w:rsidR="00237BCE" w:rsidRDefault="005A478B" w:rsidP="00D936C4">
      <w:pPr>
        <w:pBdr>
          <w:bottom w:val="none" w:sz="0" w:space="6" w:color="000000"/>
        </w:pBdr>
        <w:spacing w:after="220" w:line="360" w:lineRule="auto"/>
        <w:jc w:val="both"/>
        <w:rPr>
          <w:color w:val="000000"/>
        </w:rPr>
      </w:pPr>
      <w:r>
        <w:rPr>
          <w:color w:val="000000"/>
        </w:rPr>
        <w:t>Con cargo a analizar la medida de suspensión de efectos propuesta por los agentes del sector eléctrico peruano, considero que la transacción cerrada en España tuvo efectos inmediatos en Perú, ello en dos niveles: (i) era posible identificar una nueva estructura de control en los agentes involucrados en la operación a nivel internacional de adquisición del control exclusivo de Enel sobre Endesa a través del reemplazo de directores de Acciona por directores de Enel sobre Endesa y, (ii) respecto a los agentes peruanos, se observa que adaptaron su comportamiento en el mercado acorde al nuevo interés preponderante en Endesa representado por el control exclusivo sobre Enel. En</w:t>
      </w:r>
      <w:r>
        <w:t xml:space="preserve">desa, bajo interés de Enel, </w:t>
      </w:r>
      <w:r>
        <w:rPr>
          <w:color w:val="000000"/>
        </w:rPr>
        <w:t xml:space="preserve">buscaba evitar el reproche de la autoridad de competencia peruana y promovió la declaratoria de suspensión de los efectos en Perú a través de los agentes del sector eléctrico peruano involucrados en la operación.  </w:t>
      </w:r>
      <w:r w:rsidR="00237BCE">
        <w:rPr>
          <w:color w:val="000000"/>
        </w:rPr>
        <w:t>Irremediablemente,</w:t>
      </w:r>
      <w:r>
        <w:rPr>
          <w:color w:val="000000"/>
        </w:rPr>
        <w:t xml:space="preserve"> la acción realizada por Enel de cerrar la operación el 25 de junio de 2009 constituía un supuesto de infracción a la Ley 26876. </w:t>
      </w:r>
    </w:p>
    <w:p w:rsidR="002355F1" w:rsidRDefault="00237BCE" w:rsidP="00D936C4">
      <w:pPr>
        <w:pBdr>
          <w:bottom w:val="none" w:sz="0" w:space="6" w:color="000000"/>
        </w:pBdr>
        <w:spacing w:after="220" w:line="360" w:lineRule="auto"/>
        <w:jc w:val="both"/>
        <w:rPr>
          <w:color w:val="000000"/>
        </w:rPr>
      </w:pPr>
      <w:r>
        <w:rPr>
          <w:color w:val="000000"/>
        </w:rPr>
        <w:t>Ahora bien, l</w:t>
      </w:r>
      <w:r w:rsidR="005A478B">
        <w:rPr>
          <w:color w:val="000000"/>
        </w:rPr>
        <w:t>a propuesta busca que la autoridad identifique, conforme el p</w:t>
      </w:r>
      <w:r w:rsidR="005A478B">
        <w:t>árrafo anterior,</w:t>
      </w:r>
      <w:r w:rsidR="005A478B">
        <w:rPr>
          <w:color w:val="000000"/>
        </w:rPr>
        <w:t xml:space="preserve"> el cambio en la estructura de control y evite una concepción amplia de qué se entiende </w:t>
      </w:r>
      <w:r>
        <w:rPr>
          <w:color w:val="000000"/>
        </w:rPr>
        <w:t xml:space="preserve"> en el </w:t>
      </w:r>
      <w:r w:rsidR="005A478B">
        <w:rPr>
          <w:color w:val="000000"/>
        </w:rPr>
        <w:t xml:space="preserve">ámbito de obligación de suspensión, delimitando la misma a actos concretos que puedan tener impacto significativo en los derechos políticos de los agentes. </w:t>
      </w:r>
    </w:p>
    <w:p w:rsidR="002355F1" w:rsidRPr="000F6FB8" w:rsidRDefault="005A478B" w:rsidP="000F6FB8">
      <w:pPr>
        <w:pStyle w:val="Ttulo3"/>
        <w:numPr>
          <w:ilvl w:val="2"/>
          <w:numId w:val="3"/>
        </w:numPr>
        <w:rPr>
          <w:sz w:val="24"/>
          <w:szCs w:val="24"/>
        </w:rPr>
      </w:pPr>
      <w:r w:rsidRPr="000F6FB8">
        <w:rPr>
          <w:sz w:val="24"/>
          <w:szCs w:val="24"/>
        </w:rPr>
        <w:lastRenderedPageBreak/>
        <w:t xml:space="preserve"> </w:t>
      </w:r>
      <w:bookmarkStart w:id="40" w:name="_Toc47387747"/>
      <w:r w:rsidRPr="000F6FB8">
        <w:rPr>
          <w:sz w:val="24"/>
          <w:szCs w:val="24"/>
        </w:rPr>
        <w:t>Medidas de suspensión de los efectos o acuerdos de exclusión</w:t>
      </w:r>
      <w:r w:rsidR="001710C6" w:rsidRPr="000F6FB8">
        <w:rPr>
          <w:sz w:val="24"/>
          <w:szCs w:val="24"/>
        </w:rPr>
        <w:t>. ¿En qué consisten? ¿Realmente existen?</w:t>
      </w:r>
      <w:bookmarkEnd w:id="40"/>
    </w:p>
    <w:p w:rsidR="00A96217" w:rsidRPr="00A96217" w:rsidRDefault="00A96217" w:rsidP="00A96217"/>
    <w:p w:rsidR="002355F1" w:rsidRDefault="005A478B" w:rsidP="00D936C4">
      <w:pPr>
        <w:pBdr>
          <w:bottom w:val="none" w:sz="0" w:space="0" w:color="000000"/>
        </w:pBdr>
        <w:spacing w:after="220" w:line="360" w:lineRule="auto"/>
        <w:jc w:val="both"/>
        <w:rPr>
          <w:color w:val="000000"/>
        </w:rPr>
      </w:pPr>
      <w:r>
        <w:rPr>
          <w:color w:val="000000"/>
        </w:rPr>
        <w:t xml:space="preserve">Sin perjuicio de que ya hemos analizado </w:t>
      </w:r>
      <w:r>
        <w:t>la sujeción a la obligación de suspensión y los alcances de la misma</w:t>
      </w:r>
      <w:r>
        <w:rPr>
          <w:color w:val="000000"/>
        </w:rPr>
        <w:t xml:space="preserve">, </w:t>
      </w:r>
      <w:r w:rsidR="00865F07">
        <w:rPr>
          <w:color w:val="000000"/>
        </w:rPr>
        <w:t xml:space="preserve">es </w:t>
      </w:r>
      <w:r>
        <w:rPr>
          <w:color w:val="000000"/>
        </w:rPr>
        <w:t xml:space="preserve">importante conocer si los acuerdo de exclusión propuestos para mantener </w:t>
      </w:r>
      <w:r w:rsidR="00865F07">
        <w:rPr>
          <w:color w:val="000000"/>
        </w:rPr>
        <w:t>a determinados territorios como ajenos a los efectos del cierre</w:t>
      </w:r>
      <w:r w:rsidR="00F21701">
        <w:rPr>
          <w:color w:val="000000"/>
        </w:rPr>
        <w:t xml:space="preserve"> global de una operación,</w:t>
      </w:r>
      <w:r>
        <w:rPr>
          <w:color w:val="000000"/>
        </w:rPr>
        <w:t xml:space="preserve"> son atendibles en un régimen de control de concentraciones. Ello con motivo a la medida de suspensión de los efectos propuesta por Eepsa, Edelnor y  Edegel, controladas por Endesa, los cuales, reconociendo la competencia de la autoridad peruana, pero ante el próximo cierre de la transacción en España, consideraron oportuno presentar el comunicado a la Comisión Nacional Supervisora de Empresas y Valores declarando la restricción de los efectos hasta obtener la autorización. </w:t>
      </w:r>
    </w:p>
    <w:p w:rsidR="002355F1" w:rsidRDefault="005A478B" w:rsidP="00D936C4">
      <w:pPr>
        <w:pBdr>
          <w:bottom w:val="none" w:sz="0" w:space="0" w:color="000000"/>
        </w:pBdr>
        <w:spacing w:after="220" w:line="360" w:lineRule="auto"/>
        <w:jc w:val="both"/>
        <w:rPr>
          <w:color w:val="000000"/>
        </w:rPr>
      </w:pPr>
      <w:r>
        <w:rPr>
          <w:color w:val="000000"/>
        </w:rPr>
        <w:t xml:space="preserve">Observando esta propuesta y considerando que nuestro sistema de concentraciones reconoce la existencia de una obligación de suspensión, es pertinente la discusión sobre si es posible a través de instrumentos jurídicos como medidas de suspensión de los efectos, proceder a realizar implementaciones parciales, sin que esto active la potestad sancionadora de la autoridad de competencia. </w:t>
      </w:r>
    </w:p>
    <w:p w:rsidR="002355F1" w:rsidRDefault="005A478B" w:rsidP="00D936C4">
      <w:pPr>
        <w:pBdr>
          <w:bottom w:val="none" w:sz="0" w:space="0" w:color="000000"/>
        </w:pBdr>
        <w:spacing w:after="220" w:line="360" w:lineRule="auto"/>
        <w:jc w:val="both"/>
        <w:rPr>
          <w:color w:val="000000"/>
        </w:rPr>
      </w:pPr>
      <w:r>
        <w:rPr>
          <w:color w:val="000000"/>
        </w:rPr>
        <w:t xml:space="preserve">La mayor parte de las autoridades de competencia optan por rechazar los acuerdos de exclusión o </w:t>
      </w:r>
      <w:r w:rsidRPr="001B19AC">
        <w:rPr>
          <w:i/>
          <w:color w:val="000000"/>
        </w:rPr>
        <w:t>carve out agreements</w:t>
      </w:r>
      <w:r>
        <w:rPr>
          <w:color w:val="000000"/>
        </w:rPr>
        <w:t xml:space="preserve"> por  los siguientes motivos: (i) la norma de obligación de no implementación no contempla excepciones; (ii) consideran que la implementación global o, </w:t>
      </w:r>
      <w:r>
        <w:t xml:space="preserve">por lo menos, en otro ámbito territorial, </w:t>
      </w:r>
      <w:r>
        <w:rPr>
          <w:color w:val="000000"/>
        </w:rPr>
        <w:t xml:space="preserve">incide directamente en la estructura de control nacional; y (iii) las medidas propuestas no logran aislar dichos efectos de manera tal que, efectivamente, se logre no alterar la estructura de control de los agentes ubicados en el país a excluir. </w:t>
      </w:r>
    </w:p>
    <w:p w:rsidR="002355F1" w:rsidRDefault="005A478B" w:rsidP="00D936C4">
      <w:pPr>
        <w:pBdr>
          <w:bottom w:val="none" w:sz="0" w:space="0" w:color="000000"/>
        </w:pBdr>
        <w:spacing w:after="220" w:line="360" w:lineRule="auto"/>
        <w:jc w:val="both"/>
        <w:rPr>
          <w:color w:val="000000"/>
        </w:rPr>
      </w:pPr>
      <w:r>
        <w:rPr>
          <w:color w:val="000000"/>
        </w:rPr>
        <w:t>Siguen esta línea de análisis autoridades como el Consejo Administrativo para la Defensa Económica de Brasil, el cual en el 2016 impuso una multa de 7,5 millones de euros a Cisco Systems y Technicolor por el cierre de una transacción para la adquisición de una subsidiaria de Cisco Systems Inc., con sede en los Estados Unidos, por Technicolor con sede en Francia</w:t>
      </w:r>
      <w:r>
        <w:rPr>
          <w:color w:val="000000"/>
          <w:vertAlign w:val="superscript"/>
        </w:rPr>
        <w:footnoteReference w:id="34"/>
      </w:r>
      <w:r>
        <w:rPr>
          <w:color w:val="000000"/>
        </w:rPr>
        <w:t xml:space="preserve">; en el mismo sentido ubicamos el Requerimiento de la Fiscalía Nacional </w:t>
      </w:r>
      <w:r>
        <w:rPr>
          <w:color w:val="000000"/>
        </w:rPr>
        <w:lastRenderedPageBreak/>
        <w:t>Económica en Chile al Tribunal de Defensa de la Competencia del 6 de abril de 2018 por el caso Minerva/JBS, siendo que la Fiscalía, en el numeral 26 del citado Requerimiento, manifestó lo siguiente:</w:t>
      </w:r>
    </w:p>
    <w:p w:rsidR="002355F1" w:rsidRDefault="005A478B" w:rsidP="00D936C4">
      <w:pPr>
        <w:pBdr>
          <w:bottom w:val="none" w:sz="0" w:space="0" w:color="000000"/>
        </w:pBdr>
        <w:spacing w:after="220" w:line="360" w:lineRule="auto"/>
        <w:jc w:val="center"/>
        <w:rPr>
          <w:color w:val="000000"/>
        </w:rPr>
      </w:pPr>
      <w:r>
        <w:rPr>
          <w:noProof/>
          <w:color w:val="000000"/>
        </w:rPr>
        <w:drawing>
          <wp:inline distT="114300" distB="114300" distL="114300" distR="114300" wp14:editId="49BD5DD8">
            <wp:extent cx="3679545" cy="1420586"/>
            <wp:effectExtent l="0" t="0" r="3810" b="1905"/>
            <wp:docPr id="8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rotWithShape="1">
                    <a:blip r:embed="rId18"/>
                    <a:srcRect r="3189" b="8351"/>
                    <a:stretch/>
                  </pic:blipFill>
                  <pic:spPr bwMode="auto">
                    <a:xfrm>
                      <a:off x="0" y="0"/>
                      <a:ext cx="3702121" cy="1429302"/>
                    </a:xfrm>
                    <a:prstGeom prst="rect">
                      <a:avLst/>
                    </a:prstGeom>
                    <a:ln>
                      <a:noFill/>
                    </a:ln>
                    <a:extLst>
                      <a:ext uri="{53640926-AAD7-44D8-BBD7-CCE9431645EC}">
                        <a14:shadowObscured xmlns:a14="http://schemas.microsoft.com/office/drawing/2010/main"/>
                      </a:ext>
                    </a:extLst>
                  </pic:spPr>
                </pic:pic>
              </a:graphicData>
            </a:graphic>
          </wp:inline>
        </w:drawing>
      </w:r>
    </w:p>
    <w:p w:rsidR="00145AB1" w:rsidRDefault="005A478B" w:rsidP="00D936C4">
      <w:pPr>
        <w:pBdr>
          <w:bottom w:val="none" w:sz="0" w:space="0" w:color="000000"/>
        </w:pBdr>
        <w:spacing w:after="220" w:line="360" w:lineRule="auto"/>
        <w:jc w:val="center"/>
        <w:rPr>
          <w:color w:val="000000"/>
        </w:rPr>
      </w:pPr>
      <w:r>
        <w:rPr>
          <w:noProof/>
          <w:color w:val="000000"/>
        </w:rPr>
        <w:drawing>
          <wp:inline distT="114300" distB="114300" distL="114300" distR="114300" wp14:editId="5C0003F0">
            <wp:extent cx="3679825" cy="522514"/>
            <wp:effectExtent l="0" t="0" r="0" b="0"/>
            <wp:docPr id="8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rotWithShape="1">
                    <a:blip r:embed="rId19"/>
                    <a:srcRect b="14810"/>
                    <a:stretch/>
                  </pic:blipFill>
                  <pic:spPr bwMode="auto">
                    <a:xfrm>
                      <a:off x="0" y="0"/>
                      <a:ext cx="3745527" cy="531843"/>
                    </a:xfrm>
                    <a:prstGeom prst="rect">
                      <a:avLst/>
                    </a:prstGeom>
                    <a:ln>
                      <a:noFill/>
                    </a:ln>
                    <a:extLst>
                      <a:ext uri="{53640926-AAD7-44D8-BBD7-CCE9431645EC}">
                        <a14:shadowObscured xmlns:a14="http://schemas.microsoft.com/office/drawing/2010/main"/>
                      </a:ext>
                    </a:extLst>
                  </pic:spPr>
                </pic:pic>
              </a:graphicData>
            </a:graphic>
          </wp:inline>
        </w:drawing>
      </w:r>
    </w:p>
    <w:p w:rsidR="002355F1" w:rsidRPr="00145AB1" w:rsidRDefault="005A478B" w:rsidP="00D936C4">
      <w:pPr>
        <w:pBdr>
          <w:bottom w:val="none" w:sz="0" w:space="0" w:color="000000"/>
        </w:pBdr>
        <w:spacing w:after="220" w:line="360" w:lineRule="auto"/>
        <w:jc w:val="both"/>
        <w:rPr>
          <w:color w:val="000000"/>
        </w:rPr>
      </w:pPr>
      <w:r>
        <w:rPr>
          <w:color w:val="000000"/>
        </w:rPr>
        <w:t>Sin embargo, aunque son pocas las jurisdicciones que trasladan est</w:t>
      </w:r>
      <w:r w:rsidR="001B19AC">
        <w:rPr>
          <w:color w:val="000000"/>
        </w:rPr>
        <w:t>a punto</w:t>
      </w:r>
      <w:r>
        <w:rPr>
          <w:color w:val="000000"/>
        </w:rPr>
        <w:t xml:space="preserve"> a su normativa, cabe la posibilidad que, o bien la norma contemple como supuestos de excepción como los acuerdos de exclusión o pueda la autoridad, a través de sus pronunciamientos interpretar su aceptación. Ejemplo de esta adaptación en la obligación de suspensión se puede encontrar en la legislación colombiana que permite acuerdos de exclusión</w:t>
      </w:r>
      <w:r>
        <w:t xml:space="preserve"> conforme al siguiente detalle expuesto en la Resolución 10930 de 2015 de la</w:t>
      </w:r>
      <w:r w:rsidR="00145AB1">
        <w:t xml:space="preserve"> </w:t>
      </w:r>
      <w:r>
        <w:t>Superintedencia de Industria y Comercio de Colombia:</w:t>
      </w:r>
    </w:p>
    <w:p w:rsidR="002355F1" w:rsidRPr="0066148C" w:rsidRDefault="00CC37BB" w:rsidP="00D936C4">
      <w:pPr>
        <w:pBdr>
          <w:bottom w:val="none" w:sz="0" w:space="6" w:color="000000"/>
        </w:pBdr>
        <w:spacing w:after="220" w:line="360" w:lineRule="auto"/>
        <w:ind w:left="720"/>
        <w:jc w:val="both"/>
      </w:pPr>
      <w:r w:rsidRPr="00CC37BB">
        <w:rPr>
          <w:b/>
          <w:bCs/>
          <w:sz w:val="20"/>
          <w:szCs w:val="20"/>
        </w:rPr>
        <w:t>Resolución 10930 de 2015 de la Superintedencia de Industria y Comercio de Colombia</w:t>
      </w:r>
      <w:r>
        <w:br/>
      </w:r>
      <w:r w:rsidR="005A478B" w:rsidRPr="00CC37BB">
        <w:rPr>
          <w:sz w:val="20"/>
          <w:szCs w:val="20"/>
        </w:rPr>
        <w:t>2.7. Separación del negocio en Colombia mientras la Superintendencia de Industria y Comercio profiere su decisión</w:t>
      </w:r>
      <w:r w:rsidR="0066148C">
        <w:t xml:space="preserve">. </w:t>
      </w:r>
      <w:r w:rsidR="005A478B" w:rsidRPr="00CC37BB">
        <w:rPr>
          <w:sz w:val="20"/>
          <w:szCs w:val="20"/>
        </w:rPr>
        <w:t xml:space="preserve">En los casos en que una transacción deba ser analizada y aprobada por autoridades de competencia de varias jurisdicciones, </w:t>
      </w:r>
      <w:r w:rsidR="005A478B" w:rsidRPr="00CC37BB">
        <w:rPr>
          <w:sz w:val="20"/>
          <w:szCs w:val="20"/>
          <w:u w:val="single"/>
        </w:rPr>
        <w:t xml:space="preserve">las empresas intervinientes podrán proponer, previo a la ejecutoria del acto administrativo de la Superintendencia de Industria y Comercio que decide la concentración, </w:t>
      </w:r>
      <w:r w:rsidR="005A478B" w:rsidRPr="00CC37BB">
        <w:rPr>
          <w:sz w:val="20"/>
          <w:szCs w:val="20"/>
        </w:rPr>
        <w:t>mecanismos para que el cierre de la transacción en otras jurisdicciones en las cuales ya se ha obtenido una aprobación no implique una concentración económica en Colombia.</w:t>
      </w:r>
      <w:r w:rsidR="0066148C">
        <w:t xml:space="preserve"> </w:t>
      </w:r>
      <w:r w:rsidR="005A478B" w:rsidRPr="00CC37BB">
        <w:rPr>
          <w:sz w:val="20"/>
          <w:szCs w:val="20"/>
        </w:rPr>
        <w:t>Los mecanismos propuestos por las empresas intervinientes estarán encaminados a que los negocios en Colombia se mantengan separados a pesar de que la transacción se haya concluido en otras jurisdicciones, y mientras la Superintendencia de Industria y Comercio profiere su decisión respecto de la concentración.</w:t>
      </w:r>
      <w:r w:rsidR="0066148C">
        <w:t xml:space="preserve"> </w:t>
      </w:r>
      <w:r w:rsidR="005A478B" w:rsidRPr="00CC37BB">
        <w:rPr>
          <w:sz w:val="20"/>
          <w:szCs w:val="20"/>
        </w:rPr>
        <w:t xml:space="preserve">Para efectos de poder integrar los negocios en el extranjero previo el pronunciamiento de la Superintendencia de Industria y Comercio respecto de la concentración, la </w:t>
      </w:r>
      <w:r w:rsidR="005A478B" w:rsidRPr="00CC37BB">
        <w:rPr>
          <w:sz w:val="20"/>
          <w:szCs w:val="20"/>
        </w:rPr>
        <w:lastRenderedPageBreak/>
        <w:t>Superintendencia dará su visto bueno respecto del mecanismo propuesto por las empresas intervinientes para la separación del negocio.</w:t>
      </w:r>
    </w:p>
    <w:p w:rsidR="002355F1" w:rsidRDefault="005A478B" w:rsidP="00D936C4">
      <w:pPr>
        <w:pBdr>
          <w:bottom w:val="none" w:sz="0" w:space="6" w:color="000000"/>
        </w:pBdr>
        <w:spacing w:after="220" w:line="360" w:lineRule="auto"/>
        <w:jc w:val="both"/>
        <w:rPr>
          <w:color w:val="000000"/>
        </w:rPr>
      </w:pPr>
      <w:r>
        <w:t>O</w:t>
      </w:r>
      <w:r>
        <w:rPr>
          <w:color w:val="000000"/>
        </w:rPr>
        <w:t>tro caso</w:t>
      </w:r>
      <w:r w:rsidR="000A7F18">
        <w:rPr>
          <w:color w:val="000000"/>
        </w:rPr>
        <w:t xml:space="preserve"> ofrece Sudáfrica,</w:t>
      </w:r>
      <w:r>
        <w:rPr>
          <w:color w:val="000000"/>
        </w:rPr>
        <w:t xml:space="preserve"> operación de fusión entre A.P. Møller-Mærskand Royal P&amp;O Nedlloyd del año 2005, la cual fue implementada primero en Europa y la operación </w:t>
      </w:r>
      <w:r w:rsidR="000A7F18">
        <w:rPr>
          <w:color w:val="000000"/>
        </w:rPr>
        <w:t xml:space="preserve">enn </w:t>
      </w:r>
      <w:r>
        <w:rPr>
          <w:color w:val="000000"/>
        </w:rPr>
        <w:t xml:space="preserve"> Sudáfrica fue excluida durante los procedimientos ante la autoridad de competencia  implementada de forma separada en una fecha posterior</w:t>
      </w:r>
      <w:r>
        <w:rPr>
          <w:color w:val="000000"/>
          <w:vertAlign w:val="superscript"/>
        </w:rPr>
        <w:footnoteReference w:id="35"/>
      </w:r>
      <w:r>
        <w:rPr>
          <w:color w:val="000000"/>
        </w:rPr>
        <w:t>.</w:t>
      </w:r>
    </w:p>
    <w:p w:rsidR="001B19AC" w:rsidRDefault="001B19AC" w:rsidP="00D936C4">
      <w:pPr>
        <w:pBdr>
          <w:bottom w:val="none" w:sz="0" w:space="6" w:color="000000"/>
        </w:pBdr>
        <w:spacing w:after="220" w:line="360" w:lineRule="auto"/>
        <w:jc w:val="both"/>
        <w:rPr>
          <w:color w:val="000000"/>
        </w:rPr>
      </w:pPr>
      <w:r>
        <w:rPr>
          <w:color w:val="000000"/>
        </w:rPr>
        <w:t>Cualquiera sea la forma  en que se ha dado lugar a las excepciones, las  autoridades de competencia han reconocido que los efectos no deseados producto de las operaciones parcilamente implementadas son posibles de ser revertidos.  Sin lugar a dudas, la posibilidad de corrección permite a las autoridades</w:t>
      </w:r>
      <w:r w:rsidR="000E767F">
        <w:rPr>
          <w:color w:val="000000"/>
        </w:rPr>
        <w:t xml:space="preserve"> de ciertos países</w:t>
      </w:r>
      <w:r>
        <w:rPr>
          <w:color w:val="000000"/>
        </w:rPr>
        <w:t xml:space="preserve"> manejar un discurso más abierto hacia las medidas de dispensa </w:t>
      </w:r>
    </w:p>
    <w:p w:rsidR="002355F1" w:rsidRPr="0066148C" w:rsidRDefault="005A478B" w:rsidP="00123ED2">
      <w:pPr>
        <w:pStyle w:val="Ttulo5"/>
        <w:numPr>
          <w:ilvl w:val="3"/>
          <w:numId w:val="3"/>
        </w:numPr>
        <w:spacing w:line="360" w:lineRule="auto"/>
        <w:rPr>
          <w:color w:val="000000"/>
          <w:sz w:val="24"/>
          <w:szCs w:val="24"/>
        </w:rPr>
      </w:pPr>
      <w:bookmarkStart w:id="41" w:name="_Toc47387748"/>
      <w:r>
        <w:rPr>
          <w:color w:val="000000"/>
          <w:sz w:val="24"/>
          <w:szCs w:val="24"/>
        </w:rPr>
        <w:t>¿</w:t>
      </w:r>
      <w:r w:rsidR="00F713A3">
        <w:rPr>
          <w:color w:val="000000"/>
          <w:sz w:val="24"/>
          <w:szCs w:val="24"/>
        </w:rPr>
        <w:t>Q</w:t>
      </w:r>
      <w:r>
        <w:rPr>
          <w:color w:val="000000"/>
          <w:sz w:val="24"/>
          <w:szCs w:val="24"/>
        </w:rPr>
        <w:t>ué ha sido adoptado en Perú</w:t>
      </w:r>
      <w:r w:rsidR="00F713A3">
        <w:rPr>
          <w:color w:val="000000"/>
          <w:sz w:val="24"/>
          <w:szCs w:val="24"/>
        </w:rPr>
        <w:t xml:space="preserve"> sobre medidas de dispensa</w:t>
      </w:r>
      <w:r>
        <w:rPr>
          <w:color w:val="000000"/>
          <w:sz w:val="24"/>
          <w:szCs w:val="24"/>
        </w:rPr>
        <w:t>?</w:t>
      </w:r>
      <w:bookmarkEnd w:id="41"/>
    </w:p>
    <w:p w:rsidR="002355F1" w:rsidRDefault="00F713A3" w:rsidP="00D936C4">
      <w:pPr>
        <w:spacing w:line="360" w:lineRule="auto"/>
        <w:jc w:val="both"/>
        <w:rPr>
          <w:color w:val="000000"/>
        </w:rPr>
      </w:pPr>
      <w:r>
        <w:rPr>
          <w:color w:val="000000"/>
        </w:rPr>
        <w:t>Encontramos</w:t>
      </w:r>
      <w:r w:rsidR="005A478B">
        <w:rPr>
          <w:color w:val="000000"/>
        </w:rPr>
        <w:t xml:space="preserve"> la obligación de no perfeccionar la concentración u obligación de suspensión en el artículo 3 de la Ley 26876, el cual somete la realización de actos de concentración en las actividades de generación y/o de transmisión y/o de distribución de energía a la autorización previa de la Comisión  del  Indecopi y conforme ha sido expuesto,  añade como consecuencia que sin esta aprobación dichas operaciones no podrán realizarse ni en caso se realicen sin autorización, tendrán efecto legal alguno. Del mismo artículo</w:t>
      </w:r>
      <w:r>
        <w:rPr>
          <w:color w:val="000000"/>
        </w:rPr>
        <w:t>, s</w:t>
      </w:r>
      <w:r w:rsidR="005A478B">
        <w:rPr>
          <w:color w:val="000000"/>
        </w:rPr>
        <w:t xml:space="preserve">e observa que el legislador </w:t>
      </w:r>
      <w:r w:rsidR="005A478B" w:rsidRPr="00F713A3">
        <w:rPr>
          <w:color w:val="000000"/>
          <w:u w:val="single"/>
        </w:rPr>
        <w:t>no previó excepción a dicha obligación de suspensión</w:t>
      </w:r>
      <w:r w:rsidR="005A478B">
        <w:rPr>
          <w:color w:val="000000"/>
        </w:rPr>
        <w:t xml:space="preserve">. </w:t>
      </w:r>
    </w:p>
    <w:p w:rsidR="002355F1" w:rsidRDefault="002355F1" w:rsidP="00D936C4">
      <w:pPr>
        <w:spacing w:line="360" w:lineRule="auto"/>
        <w:jc w:val="both"/>
      </w:pPr>
    </w:p>
    <w:p w:rsidR="002355F1" w:rsidRDefault="005A478B" w:rsidP="00D936C4">
      <w:pPr>
        <w:spacing w:line="360" w:lineRule="auto"/>
        <w:jc w:val="both"/>
        <w:rPr>
          <w:color w:val="000000"/>
        </w:rPr>
      </w:pPr>
      <w:r>
        <w:rPr>
          <w:color w:val="000000"/>
        </w:rPr>
        <w:t xml:space="preserve">Ahora bien, </w:t>
      </w:r>
      <w:r w:rsidR="00F713A3">
        <w:rPr>
          <w:color w:val="000000"/>
        </w:rPr>
        <w:t>como ya ha sido expuesto, la normativa</w:t>
      </w:r>
      <w:r>
        <w:rPr>
          <w:color w:val="000000"/>
        </w:rPr>
        <w:t xml:space="preserve"> peruana </w:t>
      </w:r>
      <w:r w:rsidR="00F713A3">
        <w:rPr>
          <w:color w:val="000000"/>
        </w:rPr>
        <w:t>no brinda mayor certeza sobre qué</w:t>
      </w:r>
      <w:r>
        <w:rPr>
          <w:color w:val="000000"/>
        </w:rPr>
        <w:t xml:space="preserve"> implica realizar un acto de concentración</w:t>
      </w:r>
      <w:r w:rsidR="00F713A3">
        <w:rPr>
          <w:color w:val="000000"/>
        </w:rPr>
        <w:t xml:space="preserve">. Esta falta de certeza permite cuestionamientos como si </w:t>
      </w:r>
      <w:r>
        <w:rPr>
          <w:color w:val="000000"/>
        </w:rPr>
        <w:t xml:space="preserve">la realización del acto de concentración debe ser un efecto real y tangible sobre la estructura de control y que este sea posible de exponer por la autoridad o si la sola potencialidad de tener el control determina el perfeccionamiento de un acto de concentración. Frente a esta incertidumbre sobre el ámbito de la obligación de suspender y la actuación de los agentes económicos en el mercado, </w:t>
      </w:r>
      <w:r w:rsidR="00BD47E9">
        <w:rPr>
          <w:color w:val="000000"/>
        </w:rPr>
        <w:t>hay lugar para estudiar la posibilidad de</w:t>
      </w:r>
      <w:r>
        <w:rPr>
          <w:color w:val="000000"/>
        </w:rPr>
        <w:t xml:space="preserve"> que el agente </w:t>
      </w:r>
      <w:r>
        <w:rPr>
          <w:color w:val="000000"/>
        </w:rPr>
        <w:lastRenderedPageBreak/>
        <w:t xml:space="preserve">privado interesado y participante de la operación proponga a la autoridad medidas de suspensión de los efectos.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¿Es posible concluir de forma tajante que la legislación de competencia prohíbe la adopción de medidas que puedan aislar los efectos de una implementación parcial? Una interpretación literal de la norma de concentraciones y el principio de taxatividad nos llevarían a afirmar que, si no está permitida dicha dispensa en la norma, la prohibición no está sujeta a excepciones y el uso de mecanismos de implementación parcial se encuentran prohibidos.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Sin embargo, que la interpretación de prohibir propuestas de suspensión de los efectos sea sostenida bajo el argumento de protección al control de concentraciones y por la irreversibilidad de los daños de la concreción de la operación en el mercado, no es un argumento sostenible</w:t>
      </w:r>
      <w:r w:rsidR="005C494F">
        <w:rPr>
          <w:color w:val="000000"/>
        </w:rPr>
        <w:t>. Lo anterior pues</w:t>
      </w:r>
      <w:r>
        <w:rPr>
          <w:color w:val="000000"/>
        </w:rPr>
        <w:t xml:space="preserve"> </w:t>
      </w:r>
      <w:r w:rsidR="005C494F">
        <w:rPr>
          <w:color w:val="000000"/>
        </w:rPr>
        <w:t xml:space="preserve">en </w:t>
      </w:r>
      <w:r>
        <w:rPr>
          <w:color w:val="000000"/>
        </w:rPr>
        <w:t xml:space="preserve">la misma ley </w:t>
      </w:r>
      <w:r w:rsidR="005C494F">
        <w:rPr>
          <w:color w:val="000000"/>
        </w:rPr>
        <w:t>se aprecia</w:t>
      </w:r>
      <w:r>
        <w:rPr>
          <w:color w:val="000000"/>
        </w:rPr>
        <w:t xml:space="preserve"> la facultad de las autoridades de competencia de revertir los daños a la competencia generados por los actos de concentración realizados de forma indebida.</w:t>
      </w:r>
    </w:p>
    <w:p w:rsidR="002355F1" w:rsidRDefault="002355F1" w:rsidP="00D936C4">
      <w:pPr>
        <w:spacing w:line="360" w:lineRule="auto"/>
        <w:ind w:left="720"/>
        <w:jc w:val="both"/>
        <w:rPr>
          <w:color w:val="000000"/>
        </w:rPr>
      </w:pPr>
    </w:p>
    <w:p w:rsidR="002355F1" w:rsidRPr="00CC37BB" w:rsidRDefault="005A478B" w:rsidP="00D936C4">
      <w:pPr>
        <w:spacing w:line="360" w:lineRule="auto"/>
        <w:ind w:left="720"/>
        <w:jc w:val="both"/>
        <w:rPr>
          <w:b/>
          <w:color w:val="000000"/>
          <w:sz w:val="20"/>
          <w:szCs w:val="20"/>
        </w:rPr>
      </w:pPr>
      <w:r w:rsidRPr="00CC37BB">
        <w:rPr>
          <w:b/>
          <w:color w:val="000000"/>
          <w:sz w:val="20"/>
          <w:szCs w:val="20"/>
        </w:rPr>
        <w:t>Ley 26876</w:t>
      </w:r>
    </w:p>
    <w:p w:rsidR="002355F1" w:rsidRPr="00CC37BB" w:rsidRDefault="005A478B" w:rsidP="00D936C4">
      <w:pPr>
        <w:spacing w:line="360" w:lineRule="auto"/>
        <w:ind w:left="720"/>
        <w:jc w:val="both"/>
        <w:rPr>
          <w:color w:val="000000"/>
          <w:sz w:val="20"/>
          <w:szCs w:val="20"/>
        </w:rPr>
      </w:pPr>
      <w:r w:rsidRPr="00CC37BB">
        <w:rPr>
          <w:color w:val="000000"/>
          <w:sz w:val="20"/>
          <w:szCs w:val="20"/>
        </w:rPr>
        <w:t>Artículo 5.- Si de la investigación o del procedimiento respectivo resultará que los actos de concentración pudiesen tener como efecto el disminuir, dañar o impedir la competencia y la libre concurrencia, la Comisión de Libre Competencia o el Tribunal de Defensa de la Competencia, en su caso, podrán adoptar las siguientes medidas:</w:t>
      </w:r>
      <w:r w:rsidR="0066148C">
        <w:rPr>
          <w:color w:val="000000"/>
          <w:sz w:val="20"/>
          <w:szCs w:val="20"/>
        </w:rPr>
        <w:t xml:space="preserve"> (…) </w:t>
      </w:r>
      <w:r w:rsidRPr="00CC37BB">
        <w:rPr>
          <w:color w:val="000000"/>
          <w:sz w:val="20"/>
          <w:szCs w:val="20"/>
        </w:rPr>
        <w:t xml:space="preserve">b). Ordenar la desconcentración parcial o total de lo que se hubiere concentrado indebidamente, la terminación del control o la supresión de los actos, según corresponda. </w:t>
      </w:r>
    </w:p>
    <w:p w:rsidR="002355F1" w:rsidRPr="00CC37BB" w:rsidRDefault="002355F1" w:rsidP="00D936C4">
      <w:pPr>
        <w:spacing w:line="360" w:lineRule="auto"/>
        <w:jc w:val="both"/>
        <w:rPr>
          <w:color w:val="000000"/>
          <w:sz w:val="21"/>
          <w:szCs w:val="21"/>
        </w:rPr>
      </w:pPr>
    </w:p>
    <w:p w:rsidR="005C494F" w:rsidRDefault="005A478B" w:rsidP="00D936C4">
      <w:pPr>
        <w:spacing w:line="360" w:lineRule="auto"/>
        <w:jc w:val="both"/>
        <w:rPr>
          <w:color w:val="000000"/>
        </w:rPr>
      </w:pPr>
      <w:r>
        <w:rPr>
          <w:color w:val="000000"/>
        </w:rPr>
        <w:t>De igual modo, es difícil sostener en el tiempo interpretaciones aisladas de la realidad comercial. Los plazos de los procedimientos son di</w:t>
      </w:r>
      <w:r>
        <w:t>versos</w:t>
      </w:r>
      <w:r>
        <w:rPr>
          <w:color w:val="000000"/>
        </w:rPr>
        <w:t xml:space="preserve"> en todo el mundo, así como la carga impuesta a los agentes interesados de proveer información y estar a disposición de la autoridad. Que en el desarrollo de sus actividades, una autoridad de competencia no permita la adopción de ciertas formas de flexibilización evidenciaría una Administración reacia a los cambios. </w:t>
      </w:r>
    </w:p>
    <w:p w:rsidR="002355F1" w:rsidRDefault="005C494F" w:rsidP="00D936C4">
      <w:pPr>
        <w:spacing w:line="360" w:lineRule="auto"/>
        <w:jc w:val="both"/>
        <w:rPr>
          <w:color w:val="000000"/>
        </w:rPr>
      </w:pPr>
      <w:r>
        <w:rPr>
          <w:color w:val="000000"/>
        </w:rPr>
        <w:t>Aún más, l</w:t>
      </w:r>
      <w:r w:rsidR="005A478B">
        <w:rPr>
          <w:color w:val="000000"/>
        </w:rPr>
        <w:t>os agentes involucrados en las operaciones pueden identificar que el pasar del tiempo sin recibir de la autoridad pronunciamientos firmes puede repercutir en operaciones paralizadas o generar desincentivos que pueden afectar el cierre de la operación</w:t>
      </w:r>
      <w:r>
        <w:rPr>
          <w:color w:val="000000"/>
        </w:rPr>
        <w:t xml:space="preserve">. Lo anterior </w:t>
      </w:r>
      <w:r>
        <w:rPr>
          <w:color w:val="000000"/>
        </w:rPr>
        <w:lastRenderedPageBreak/>
        <w:t>es cierto pues</w:t>
      </w:r>
      <w:r w:rsidR="005A478B">
        <w:rPr>
          <w:color w:val="000000"/>
        </w:rPr>
        <w:t xml:space="preserve"> los valores de la operación en el mercado pueden variar</w:t>
      </w:r>
      <w:r>
        <w:rPr>
          <w:color w:val="000000"/>
        </w:rPr>
        <w:t xml:space="preserve"> dramáticamente de un periodo a otro,</w:t>
      </w:r>
      <w:r w:rsidR="005A478B">
        <w:rPr>
          <w:color w:val="000000"/>
        </w:rPr>
        <w:t xml:space="preserve"> así como la apreciación de los agentes involucrados sobre la conveniencia de realizar la operación.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De similar opinión, Guillermo Ferrero expone lo siguiente sobre el impacto del tiempo de los procedimientos en las operaciones de concentración: </w:t>
      </w:r>
    </w:p>
    <w:p w:rsidR="002355F1" w:rsidRPr="00CC37BB" w:rsidRDefault="002355F1" w:rsidP="00D936C4">
      <w:pPr>
        <w:spacing w:line="360" w:lineRule="auto"/>
        <w:jc w:val="both"/>
        <w:rPr>
          <w:color w:val="000000"/>
          <w:sz w:val="21"/>
          <w:szCs w:val="21"/>
        </w:rPr>
      </w:pPr>
    </w:p>
    <w:p w:rsidR="002355F1" w:rsidRPr="00CC37BB" w:rsidRDefault="005A478B" w:rsidP="00D936C4">
      <w:pPr>
        <w:spacing w:line="360" w:lineRule="auto"/>
        <w:ind w:left="720"/>
        <w:jc w:val="both"/>
        <w:rPr>
          <w:color w:val="000000"/>
          <w:sz w:val="20"/>
          <w:szCs w:val="20"/>
        </w:rPr>
      </w:pPr>
      <w:r w:rsidRPr="00CC37BB">
        <w:rPr>
          <w:color w:val="000000"/>
          <w:sz w:val="20"/>
          <w:szCs w:val="20"/>
        </w:rPr>
        <w:t>El tiempo de ejecución de la operación de concentración, que demora de 6 a 12 meses, podría extenderse de 6 a 8 meses más. Esta demora puede: (i) perjudicar el valor de la empresa a ser adquirida, por el alto grado de incertidumbre que la nueva relación con el adquirente puede generar para sus stakeholders; o, (ii) afectar el cierre de la transacción si se incrementan los costos de financiamiento para el adquirente.</w:t>
      </w:r>
    </w:p>
    <w:p w:rsidR="002355F1" w:rsidRDefault="002355F1" w:rsidP="00D936C4">
      <w:pPr>
        <w:spacing w:line="360" w:lineRule="auto"/>
        <w:ind w:left="720"/>
        <w:jc w:val="both"/>
        <w:rPr>
          <w:color w:val="000000"/>
        </w:rPr>
      </w:pPr>
    </w:p>
    <w:p w:rsidR="002355F1" w:rsidRDefault="00FD6864" w:rsidP="00D936C4">
      <w:pPr>
        <w:spacing w:line="360" w:lineRule="auto"/>
        <w:jc w:val="both"/>
        <w:rPr>
          <w:color w:val="000000"/>
        </w:rPr>
      </w:pPr>
      <w:r>
        <w:rPr>
          <w:color w:val="000000"/>
        </w:rPr>
        <w:t>En definitiva</w:t>
      </w:r>
      <w:r w:rsidR="005A478B">
        <w:rPr>
          <w:color w:val="000000"/>
        </w:rPr>
        <w:t xml:space="preserve">, son dos los elementos que nos permiten encontrar una opción a la adopción de medidas de implementación parcial: </w:t>
      </w:r>
    </w:p>
    <w:p w:rsidR="002355F1" w:rsidRDefault="002355F1" w:rsidP="00D936C4">
      <w:pPr>
        <w:spacing w:line="360" w:lineRule="auto"/>
        <w:jc w:val="both"/>
        <w:rPr>
          <w:color w:val="000000"/>
        </w:rPr>
      </w:pPr>
    </w:p>
    <w:p w:rsidR="002355F1" w:rsidRDefault="005A478B" w:rsidP="00D936C4">
      <w:pPr>
        <w:numPr>
          <w:ilvl w:val="0"/>
          <w:numId w:val="13"/>
        </w:numPr>
        <w:spacing w:line="360" w:lineRule="auto"/>
        <w:jc w:val="both"/>
        <w:rPr>
          <w:color w:val="000000"/>
        </w:rPr>
      </w:pPr>
      <w:r>
        <w:rPr>
          <w:color w:val="000000"/>
        </w:rPr>
        <w:t xml:space="preserve">El primero es que ni la ley ni la casuística peruana proporciona mayores detalles sobre el alcance de la obligación de suspensión o no perfeccionar el acto. </w:t>
      </w:r>
      <w:r w:rsidR="00FD6864">
        <w:rPr>
          <w:color w:val="000000"/>
        </w:rPr>
        <w:t>Concretizando,</w:t>
      </w:r>
      <w:r>
        <w:rPr>
          <w:color w:val="000000"/>
        </w:rPr>
        <w:t xml:space="preserve"> se identifica un vacío y/o falta de claridad sobre el alcance de la obligación de suspensión, lo </w:t>
      </w:r>
      <w:r w:rsidR="00FD6864">
        <w:rPr>
          <w:color w:val="000000"/>
        </w:rPr>
        <w:t>cual impide</w:t>
      </w:r>
      <w:r>
        <w:rPr>
          <w:color w:val="000000"/>
        </w:rPr>
        <w:t xml:space="preserve"> identificar si para </w:t>
      </w:r>
      <w:r w:rsidR="00FD6864">
        <w:rPr>
          <w:color w:val="000000"/>
        </w:rPr>
        <w:t xml:space="preserve">considerar </w:t>
      </w:r>
      <w:r>
        <w:rPr>
          <w:color w:val="000000"/>
        </w:rPr>
        <w:t xml:space="preserve"> </w:t>
      </w:r>
      <w:r w:rsidR="00FD6864">
        <w:rPr>
          <w:color w:val="000000"/>
        </w:rPr>
        <w:t xml:space="preserve">como efectivamente ralizado el acto </w:t>
      </w:r>
      <w:r>
        <w:rPr>
          <w:color w:val="000000"/>
        </w:rPr>
        <w:t xml:space="preserve">de concentración se requiere que el control sea efectivamente trasladado y que este se manifieste de forma concreta o si solo se requiere la potencialidad del mismo.  </w:t>
      </w:r>
    </w:p>
    <w:p w:rsidR="00203464" w:rsidRDefault="00203464" w:rsidP="00203464">
      <w:pPr>
        <w:spacing w:line="360" w:lineRule="auto"/>
        <w:ind w:left="720"/>
        <w:jc w:val="both"/>
        <w:rPr>
          <w:color w:val="000000"/>
        </w:rPr>
      </w:pPr>
    </w:p>
    <w:p w:rsidR="002355F1" w:rsidRDefault="005A478B" w:rsidP="00D936C4">
      <w:pPr>
        <w:numPr>
          <w:ilvl w:val="0"/>
          <w:numId w:val="13"/>
        </w:numPr>
        <w:spacing w:line="360" w:lineRule="auto"/>
        <w:jc w:val="both"/>
        <w:rPr>
          <w:color w:val="000000"/>
        </w:rPr>
      </w:pPr>
      <w:r>
        <w:rPr>
          <w:color w:val="000000"/>
        </w:rPr>
        <w:t>La norma otorga la posibilidad de revertir daños realizados por actos de concentración. Es decir, si se da el caso que a nivel internacional se realice una concentración y, finalmente, la autoridad peruana decida no aprobar dicha implementación en Perú, el efecto en la competencia causado por la implementación parcial no es irremediable porque la misma autoridad cuenta con medios para revertir la situación.</w:t>
      </w:r>
    </w:p>
    <w:p w:rsidR="002355F1" w:rsidRDefault="002355F1" w:rsidP="00D936C4">
      <w:pPr>
        <w:spacing w:line="360" w:lineRule="auto"/>
        <w:ind w:left="720"/>
        <w:jc w:val="both"/>
        <w:rPr>
          <w:color w:val="000000"/>
        </w:rPr>
      </w:pPr>
    </w:p>
    <w:p w:rsidR="00114F61" w:rsidRDefault="005A478B" w:rsidP="00D936C4">
      <w:pPr>
        <w:spacing w:line="360" w:lineRule="auto"/>
        <w:jc w:val="both"/>
        <w:rPr>
          <w:color w:val="000000"/>
        </w:rPr>
      </w:pPr>
      <w:r>
        <w:rPr>
          <w:color w:val="000000"/>
        </w:rPr>
        <w:t xml:space="preserve">Entonces, contrario a lo que podría sostenerse bajo una interpretación estricta del artículo 3 de la Ley 26876, </w:t>
      </w:r>
      <w:r w:rsidR="00203464">
        <w:rPr>
          <w:color w:val="000000"/>
        </w:rPr>
        <w:t xml:space="preserve">en </w:t>
      </w:r>
      <w:r>
        <w:rPr>
          <w:color w:val="000000"/>
        </w:rPr>
        <w:t xml:space="preserve">la normativa peruana, ya sea por la falta de precisión o por una </w:t>
      </w:r>
      <w:r>
        <w:rPr>
          <w:color w:val="000000"/>
        </w:rPr>
        <w:lastRenderedPageBreak/>
        <w:t>interpretación también receptiva de los intereses de los agentes involucrados en la operación, podría permitirse que los agentes económicos suspendan los efectos de las operaciones a</w:t>
      </w:r>
      <w:r>
        <w:t xml:space="preserve"> espera del </w:t>
      </w:r>
      <w:r>
        <w:rPr>
          <w:color w:val="000000"/>
        </w:rPr>
        <w:t>pronunciamiento efectivo de la autoridad, sin perjuicio del cierre en otr</w:t>
      </w:r>
      <w:r>
        <w:t>os ámbitos territoriales</w:t>
      </w:r>
      <w:r>
        <w:rPr>
          <w:color w:val="000000"/>
        </w:rPr>
        <w:t>.</w:t>
      </w:r>
      <w:r w:rsidR="0066148C">
        <w:rPr>
          <w:color w:val="000000"/>
        </w:rPr>
        <w:t xml:space="preserve"> </w:t>
      </w:r>
    </w:p>
    <w:p w:rsidR="00114F61" w:rsidRDefault="00114F61" w:rsidP="00D936C4">
      <w:pPr>
        <w:spacing w:line="360" w:lineRule="auto"/>
        <w:jc w:val="both"/>
        <w:rPr>
          <w:color w:val="000000"/>
        </w:rPr>
      </w:pPr>
    </w:p>
    <w:p w:rsidR="002355F1" w:rsidRPr="0066148C" w:rsidRDefault="005A478B" w:rsidP="00D936C4">
      <w:pPr>
        <w:spacing w:line="360" w:lineRule="auto"/>
        <w:jc w:val="both"/>
      </w:pPr>
      <w:r>
        <w:rPr>
          <w:color w:val="000000"/>
        </w:rPr>
        <w:t xml:space="preserve">Como parte de esta interpretación propuesta que da cabida a medidas de exclusión de la obligación de suspensión, </w:t>
      </w:r>
      <w:r>
        <w:t>se podría considerar</w:t>
      </w:r>
      <w:r w:rsidR="0066148C">
        <w:t xml:space="preserve"> </w:t>
      </w:r>
      <w:r w:rsidR="00114F61">
        <w:t xml:space="preserve">como ejemplo de las mismas lo siguiente: </w:t>
      </w:r>
      <w:r w:rsidR="0066148C">
        <w:t>(i) la c</w:t>
      </w:r>
      <w:r>
        <w:t>onstitución de figuras</w:t>
      </w:r>
      <w:r>
        <w:rPr>
          <w:color w:val="000000"/>
        </w:rPr>
        <w:t xml:space="preserve"> que resguarde</w:t>
      </w:r>
      <w:r>
        <w:t xml:space="preserve">n </w:t>
      </w:r>
      <w:r>
        <w:rPr>
          <w:color w:val="000000"/>
        </w:rPr>
        <w:t>derechos políticos</w:t>
      </w:r>
      <w:r w:rsidR="0066148C">
        <w:rPr>
          <w:color w:val="000000"/>
        </w:rPr>
        <w:t>; (ii) d</w:t>
      </w:r>
      <w:r>
        <w:rPr>
          <w:color w:val="000000"/>
        </w:rPr>
        <w:t>eclaraciones de buena fe del agente interesado y pretenden sujetar los efectos de la implementación de la concentración al pronunciamiento de la autoridad</w:t>
      </w:r>
      <w:r w:rsidR="0066148C">
        <w:rPr>
          <w:color w:val="000000"/>
        </w:rPr>
        <w:t xml:space="preserve">; y (iii) </w:t>
      </w:r>
      <w:r w:rsidR="00114F61">
        <w:rPr>
          <w:color w:val="000000"/>
        </w:rPr>
        <w:t xml:space="preserve">establecimiento de </w:t>
      </w:r>
      <w:r w:rsidR="0066148C">
        <w:rPr>
          <w:color w:val="000000"/>
        </w:rPr>
        <w:t>c</w:t>
      </w:r>
      <w:r>
        <w:rPr>
          <w:color w:val="000000"/>
        </w:rPr>
        <w:t xml:space="preserve">láusula en los contratos que suspenda toda ejecución hasta que se obtenga la aprobación. </w:t>
      </w:r>
      <w:r w:rsidR="00114F61">
        <w:rPr>
          <w:color w:val="000000"/>
        </w:rPr>
        <w:t>Sobre el particular, n</w:t>
      </w:r>
      <w:r>
        <w:rPr>
          <w:color w:val="000000"/>
        </w:rPr>
        <w:t>o bastaría una simple declaración</w:t>
      </w:r>
      <w:r w:rsidR="00114F61">
        <w:rPr>
          <w:color w:val="000000"/>
        </w:rPr>
        <w:t xml:space="preserve"> y </w:t>
      </w:r>
      <w:r>
        <w:rPr>
          <w:color w:val="000000"/>
        </w:rPr>
        <w:t>se requeriría, por ejemplo, una condición resolutoria que indique que si no se obtiene la aprobación todo lo negociado queda sin efecto.</w:t>
      </w:r>
    </w:p>
    <w:p w:rsidR="002355F1" w:rsidRDefault="002355F1" w:rsidP="00D936C4">
      <w:pPr>
        <w:spacing w:line="360" w:lineRule="auto"/>
        <w:ind w:left="720"/>
        <w:jc w:val="both"/>
        <w:rPr>
          <w:color w:val="000000"/>
        </w:rPr>
      </w:pPr>
    </w:p>
    <w:p w:rsidR="002355F1" w:rsidRDefault="005A478B" w:rsidP="00D936C4">
      <w:pPr>
        <w:spacing w:line="360" w:lineRule="auto"/>
        <w:jc w:val="both"/>
        <w:rPr>
          <w:color w:val="000000"/>
        </w:rPr>
      </w:pPr>
      <w:r>
        <w:rPr>
          <w:color w:val="000000"/>
        </w:rPr>
        <w:t xml:space="preserve">No es posible, desde la posición </w:t>
      </w:r>
      <w:r w:rsidR="006C64DB">
        <w:rPr>
          <w:color w:val="000000"/>
        </w:rPr>
        <w:t>del Informe</w:t>
      </w:r>
      <w:r>
        <w:rPr>
          <w:color w:val="000000"/>
        </w:rPr>
        <w:t xml:space="preserve">, limitar las medidas de suspensión sin mayor fundamento que la existencia de la obligación de suspensión. </w:t>
      </w:r>
      <w:r>
        <w:t>Ahora r</w:t>
      </w:r>
      <w:r>
        <w:rPr>
          <w:color w:val="000000"/>
        </w:rPr>
        <w:t xml:space="preserve">esulta fundamental no solo considerar </w:t>
      </w:r>
      <w:r>
        <w:t>la posibilidad de</w:t>
      </w:r>
      <w:r>
        <w:rPr>
          <w:color w:val="000000"/>
        </w:rPr>
        <w:t xml:space="preserve"> adopción de dichas medidas, sino </w:t>
      </w:r>
      <w:r w:rsidR="006C64DB">
        <w:rPr>
          <w:color w:val="000000"/>
        </w:rPr>
        <w:t xml:space="preserve">que se evalúe </w:t>
      </w:r>
      <w:r>
        <w:rPr>
          <w:color w:val="000000"/>
        </w:rPr>
        <w:t>si</w:t>
      </w:r>
      <w:r w:rsidR="006C64DB">
        <w:rPr>
          <w:color w:val="000000"/>
        </w:rPr>
        <w:t xml:space="preserve"> la </w:t>
      </w:r>
      <w:r>
        <w:rPr>
          <w:color w:val="000000"/>
        </w:rPr>
        <w:t xml:space="preserve">medida fue adecuadamente propuesta y </w:t>
      </w:r>
      <w:r w:rsidR="006C64DB">
        <w:rPr>
          <w:color w:val="000000"/>
        </w:rPr>
        <w:t>si fue</w:t>
      </w:r>
      <w:r>
        <w:rPr>
          <w:color w:val="000000"/>
        </w:rPr>
        <w:t xml:space="preserve"> suficiente para alcanzar el objetivo de suspender efectos. </w:t>
      </w:r>
      <w:r w:rsidR="006C64DB">
        <w:rPr>
          <w:color w:val="000000"/>
        </w:rPr>
        <w:t>Por lo anterior, es tarea de los agentes encontrar</w:t>
      </w:r>
      <w:r>
        <w:rPr>
          <w:color w:val="000000"/>
        </w:rPr>
        <w:t xml:space="preserve"> herramientas que permitan un adecuado aislamiento de los derechos políticos</w:t>
      </w:r>
      <w:r w:rsidR="006C64DB">
        <w:rPr>
          <w:color w:val="000000"/>
        </w:rPr>
        <w:t xml:space="preserve"> </w:t>
      </w:r>
      <w:r>
        <w:rPr>
          <w:color w:val="000000"/>
        </w:rPr>
        <w:t>hasta la decisión de la autoridad</w:t>
      </w:r>
      <w:r w:rsidR="006C64DB">
        <w:rPr>
          <w:color w:val="000000"/>
        </w:rPr>
        <w:t>.</w:t>
      </w:r>
    </w:p>
    <w:p w:rsidR="002355F1" w:rsidRDefault="002355F1" w:rsidP="00D936C4">
      <w:pPr>
        <w:spacing w:line="360" w:lineRule="auto"/>
        <w:jc w:val="both"/>
        <w:rPr>
          <w:color w:val="000000"/>
        </w:rPr>
      </w:pPr>
    </w:p>
    <w:p w:rsidR="002355F1" w:rsidRDefault="00C47384" w:rsidP="00D936C4">
      <w:pPr>
        <w:spacing w:line="360" w:lineRule="auto"/>
        <w:jc w:val="both"/>
        <w:rPr>
          <w:color w:val="000000"/>
        </w:rPr>
      </w:pPr>
      <w:r>
        <w:rPr>
          <w:color w:val="000000"/>
        </w:rPr>
        <w:t>Un</w:t>
      </w:r>
      <w:r w:rsidR="005A478B">
        <w:rPr>
          <w:color w:val="000000"/>
        </w:rPr>
        <w:t xml:space="preserve"> elemento fundamental en el análisis</w:t>
      </w:r>
      <w:r>
        <w:rPr>
          <w:color w:val="000000"/>
        </w:rPr>
        <w:t xml:space="preserve"> de las medidas</w:t>
      </w:r>
      <w:r w:rsidR="005A478B">
        <w:rPr>
          <w:color w:val="000000"/>
        </w:rPr>
        <w:t xml:space="preserve"> es la diligencia del interesado en el momento de la presentación. Es </w:t>
      </w:r>
      <w:r>
        <w:rPr>
          <w:color w:val="000000"/>
        </w:rPr>
        <w:t xml:space="preserve">muy </w:t>
      </w:r>
      <w:r w:rsidR="005A478B">
        <w:rPr>
          <w:color w:val="000000"/>
        </w:rPr>
        <w:t xml:space="preserve">probable que si dichas medidas son anunciadas al momento de la notificación, sean consideradas como parte de una propuesta de la empresa que busca sujetarse a la autoridad de competencia peruana, pero </w:t>
      </w:r>
      <w:r w:rsidR="00C97CC5">
        <w:rPr>
          <w:color w:val="000000"/>
        </w:rPr>
        <w:t xml:space="preserve">que </w:t>
      </w:r>
      <w:r w:rsidR="005A478B">
        <w:rPr>
          <w:color w:val="000000"/>
        </w:rPr>
        <w:t xml:space="preserve">reconoce que los plazos en otros países pueden ser más rápidos y la implementación de las operaciones pueden ser realizadas con mayor celeridad. Además, sería importante mantener a la autoridad de competencia al tanto de las consecuencias jurídicas que conllevan a la adopción o propuesta de dichas medidas; por ejemplo, la existencia de condiciones resolutorias de toda la transferencia en caso no se realice el cierre tras determinado número de días o tras alcanzar determinadas autorizaciones. De igual modo, </w:t>
      </w:r>
      <w:r w:rsidR="00C97CC5">
        <w:rPr>
          <w:color w:val="000000"/>
        </w:rPr>
        <w:t>debería ser</w:t>
      </w:r>
      <w:r w:rsidR="005A478B">
        <w:rPr>
          <w:color w:val="000000"/>
        </w:rPr>
        <w:t xml:space="preserve"> materia de análisis también si dicha </w:t>
      </w:r>
      <w:r w:rsidR="005A478B">
        <w:rPr>
          <w:color w:val="000000"/>
        </w:rPr>
        <w:lastRenderedPageBreak/>
        <w:t>medida no fue incorporada a través de la notificación ni era parte del contrato entre las partes participantes de la operación, sino que corresponde a una medida adoptada a último momento y que estas hayan sido efectivamente puestas en conocimiento de la autoridad o si la autoridad obtuvo el conocimiento de dichas medidas por otros medios.</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Como parte de la postura de este informe y con cargo a trasladar el análisis al Caso concreto de Enel, puede ser objeto de evaluación de la autoridad la </w:t>
      </w:r>
      <w:r>
        <w:t>participación de</w:t>
      </w:r>
      <w:r>
        <w:rPr>
          <w:color w:val="000000"/>
        </w:rPr>
        <w:t xml:space="preserve"> un tercero que resguarde los derechos políticos, más no una declaración de voluntad del agente económico interesado que no logre demostrar el resguardo de forma imparcial los derechos políticos fundamentales para la estructura de control durante la tramitación de la operación. </w:t>
      </w:r>
      <w:r w:rsidR="00147A9C">
        <w:rPr>
          <w:color w:val="000000"/>
        </w:rPr>
        <w:t>De igual manera</w:t>
      </w:r>
      <w:r>
        <w:rPr>
          <w:color w:val="000000"/>
        </w:rPr>
        <w:t>, la oportunidad de dicha propuesta también deberá ser un elemento a evaluar.</w:t>
      </w:r>
    </w:p>
    <w:p w:rsidR="002355F1" w:rsidRDefault="002355F1" w:rsidP="00D936C4">
      <w:pPr>
        <w:spacing w:line="360" w:lineRule="auto"/>
        <w:jc w:val="both"/>
        <w:rPr>
          <w:color w:val="000000"/>
        </w:rPr>
      </w:pPr>
    </w:p>
    <w:p w:rsidR="002355F1" w:rsidRDefault="00DC00B6" w:rsidP="00D936C4">
      <w:pPr>
        <w:spacing w:line="360" w:lineRule="auto"/>
        <w:jc w:val="both"/>
        <w:rPr>
          <w:color w:val="000000"/>
        </w:rPr>
      </w:pPr>
      <w:r>
        <w:rPr>
          <w:color w:val="000000"/>
        </w:rPr>
        <w:t>Con ello en mente</w:t>
      </w:r>
      <w:r w:rsidR="005A478B">
        <w:rPr>
          <w:color w:val="000000"/>
        </w:rPr>
        <w:t xml:space="preserve">, corresponde analizar lo propuesto por Enel en el caso que motivó las Resoluciones de sanción 001-2010/CLC-INDECOPI y </w:t>
      </w:r>
      <w:r w:rsidR="00872443">
        <w:rPr>
          <w:color w:val="000000"/>
        </w:rPr>
        <w:t>0794</w:t>
      </w:r>
      <w:r w:rsidR="005A478B">
        <w:rPr>
          <w:color w:val="000000"/>
        </w:rPr>
        <w:t>-2011/SC1-INDECOPI.</w:t>
      </w:r>
    </w:p>
    <w:p w:rsidR="002355F1" w:rsidRDefault="00DC00B6" w:rsidP="006D375A">
      <w:pPr>
        <w:pStyle w:val="Ttulo5"/>
        <w:numPr>
          <w:ilvl w:val="3"/>
          <w:numId w:val="3"/>
        </w:numPr>
        <w:spacing w:line="360" w:lineRule="auto"/>
        <w:rPr>
          <w:color w:val="000000"/>
          <w:sz w:val="24"/>
          <w:szCs w:val="24"/>
        </w:rPr>
      </w:pPr>
      <w:bookmarkStart w:id="42" w:name="_Toc47387749"/>
      <w:r w:rsidRPr="00DC00B6">
        <w:rPr>
          <w:color w:val="000000"/>
          <w:sz w:val="24"/>
          <w:szCs w:val="24"/>
        </w:rPr>
        <w:t>¿Cómo analizó la Comisión la infracción al artículo 6 de la Ley 26876?</w:t>
      </w:r>
      <w:bookmarkEnd w:id="42"/>
      <w:r w:rsidRPr="00DC00B6">
        <w:rPr>
          <w:color w:val="000000"/>
          <w:sz w:val="24"/>
          <w:szCs w:val="24"/>
        </w:rPr>
        <w:t xml:space="preserve"> </w:t>
      </w:r>
    </w:p>
    <w:p w:rsidR="00DC00B6" w:rsidRPr="00DC00B6" w:rsidRDefault="00DC00B6" w:rsidP="00DC00B6"/>
    <w:p w:rsidR="002355F1" w:rsidRDefault="005A478B" w:rsidP="00D936C4">
      <w:pPr>
        <w:spacing w:line="360" w:lineRule="auto"/>
        <w:jc w:val="both"/>
        <w:rPr>
          <w:color w:val="000000"/>
        </w:rPr>
      </w:pPr>
      <w:r>
        <w:rPr>
          <w:color w:val="000000"/>
        </w:rPr>
        <w:t xml:space="preserve">La posición del </w:t>
      </w:r>
      <w:r w:rsidR="00DC00B6">
        <w:rPr>
          <w:color w:val="000000"/>
        </w:rPr>
        <w:t>I</w:t>
      </w:r>
      <w:r>
        <w:rPr>
          <w:color w:val="000000"/>
        </w:rPr>
        <w:t xml:space="preserve">nforme, como ya ha sido expuesta en esta sección, es que la conclusión de determinar como infracción el comportamiento de Enel es correcto. No obstante, se observa que en la motivación de las Resoluciones de sanción 001-2010/CLC-INDECOPI y </w:t>
      </w:r>
      <w:r w:rsidR="00872443">
        <w:rPr>
          <w:color w:val="000000"/>
        </w:rPr>
        <w:t>0794</w:t>
      </w:r>
      <w:r>
        <w:rPr>
          <w:color w:val="000000"/>
        </w:rPr>
        <w:t xml:space="preserve">-2011/SC1-INDECOPI se declaró declarar que el cierre de la operación en el extranjero constituyó la realización de la implementación por parte de Enel, más respecto a la medida de dispensa, la autoridad de primera instancia consideró que esta no era aceptada por el sistema de control de concentraciones, mientras que la autoridad de segunda instancia sustentó que esta propuesta no era suficiente para mitigar o aislar los efectos propios de una concentración hasta el pronunciamiento de la autoridad de competencia peruana.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Para la Comisión en la Resolución 001-2010/CLC-INDECOPI, el acto de concentración y la modificación de la estructura de control son actos indisolubles y se considera consumada la operación automáticamente en tanto pueda verificarse un </w:t>
      </w:r>
      <w:r w:rsidRPr="00DC00B6">
        <w:rPr>
          <w:color w:val="000000"/>
          <w:u w:val="single"/>
        </w:rPr>
        <w:t>cambio duradero y</w:t>
      </w:r>
      <w:r>
        <w:rPr>
          <w:color w:val="000000"/>
          <w:u w:val="single"/>
        </w:rPr>
        <w:t xml:space="preserve"> permanente,</w:t>
      </w:r>
      <w:r>
        <w:rPr>
          <w:b/>
          <w:color w:val="000000"/>
          <w:u w:val="single"/>
        </w:rPr>
        <w:t xml:space="preserve"> </w:t>
      </w:r>
      <w:r>
        <w:rPr>
          <w:color w:val="000000"/>
          <w:u w:val="single"/>
        </w:rPr>
        <w:t>en la estructura de control de la empresa o empresas afectadas.</w:t>
      </w:r>
      <w:r w:rsidRPr="00DC00B6">
        <w:rPr>
          <w:color w:val="000000"/>
        </w:rPr>
        <w:t xml:space="preserve"> </w:t>
      </w:r>
      <w:r>
        <w:rPr>
          <w:color w:val="000000"/>
        </w:rPr>
        <w:t xml:space="preserve">Considerando este carácter </w:t>
      </w:r>
      <w:r>
        <w:rPr>
          <w:color w:val="000000"/>
        </w:rPr>
        <w:lastRenderedPageBreak/>
        <w:t>indisoluble entre concentración y control, cualquier propuesta que pretend</w:t>
      </w:r>
      <w:r w:rsidR="00DC00B6">
        <w:rPr>
          <w:color w:val="000000"/>
        </w:rPr>
        <w:t>a</w:t>
      </w:r>
      <w:r>
        <w:rPr>
          <w:color w:val="000000"/>
        </w:rPr>
        <w:t xml:space="preserve"> incidir sobre los efectos de la concentración ya realizada, no tendría lugar bajo la norma de control de concentraciones</w:t>
      </w:r>
      <w:r w:rsidR="00DC00B6">
        <w:rPr>
          <w:color w:val="000000"/>
        </w:rPr>
        <w:t>. Lo anterior, conforme a</w:t>
      </w:r>
      <w:r>
        <w:rPr>
          <w:color w:val="000000"/>
        </w:rPr>
        <w:t xml:space="preserve">l siguiente detalle: </w:t>
      </w:r>
    </w:p>
    <w:p w:rsidR="002355F1" w:rsidRDefault="002355F1" w:rsidP="00D936C4">
      <w:pPr>
        <w:spacing w:line="360" w:lineRule="auto"/>
        <w:jc w:val="both"/>
        <w:rPr>
          <w:color w:val="000000"/>
        </w:rPr>
      </w:pPr>
    </w:p>
    <w:p w:rsidR="002355F1" w:rsidRPr="00CC37BB" w:rsidRDefault="005A478B" w:rsidP="00D936C4">
      <w:pPr>
        <w:spacing w:line="360" w:lineRule="auto"/>
        <w:ind w:left="720"/>
        <w:jc w:val="both"/>
        <w:rPr>
          <w:color w:val="000000"/>
          <w:sz w:val="20"/>
          <w:szCs w:val="20"/>
        </w:rPr>
      </w:pPr>
      <w:r w:rsidRPr="00CC37BB">
        <w:rPr>
          <w:color w:val="000000"/>
          <w:sz w:val="20"/>
          <w:szCs w:val="20"/>
        </w:rPr>
        <w:t xml:space="preserve">62. (...) la acción señalada por Enel, consistente en haber ordenado a través de Endesa Latinoamérica a sus empresas en el Perú que no realicen cambios, podría constituir un mecanismo orientado a prevenir la realización de acciones contrarias a la Ley de Competencia y no a la Ley de Concentraciones; pues dicha acción no impidió que se realizase la modificación en la estructura de control de las empresas involucradas y de todas aquellas bajo su control directo o indirecto, sino que solo habría impedido cambios en sus organizaciones o funcionamientos. </w:t>
      </w:r>
    </w:p>
    <w:p w:rsidR="002355F1" w:rsidRDefault="002355F1" w:rsidP="00D936C4">
      <w:pPr>
        <w:spacing w:line="360" w:lineRule="auto"/>
        <w:ind w:left="720"/>
        <w:jc w:val="both"/>
        <w:rPr>
          <w:color w:val="000000"/>
          <w:sz w:val="22"/>
          <w:szCs w:val="22"/>
        </w:rPr>
      </w:pPr>
    </w:p>
    <w:p w:rsidR="002355F1" w:rsidRDefault="004418B3" w:rsidP="00D936C4">
      <w:pPr>
        <w:pBdr>
          <w:top w:val="nil"/>
          <w:left w:val="nil"/>
          <w:bottom w:val="nil"/>
          <w:right w:val="nil"/>
          <w:between w:val="nil"/>
        </w:pBdr>
        <w:spacing w:line="360" w:lineRule="auto"/>
        <w:jc w:val="both"/>
        <w:rPr>
          <w:color w:val="000000"/>
        </w:rPr>
      </w:pPr>
      <w:r>
        <w:rPr>
          <w:color w:val="000000"/>
        </w:rPr>
        <w:t>Siguiendo la línea de análisis</w:t>
      </w:r>
      <w:r w:rsidR="005A478B">
        <w:rPr>
          <w:color w:val="000000"/>
        </w:rPr>
        <w:t>, la Sala reiter</w:t>
      </w:r>
      <w:r>
        <w:rPr>
          <w:color w:val="000000"/>
        </w:rPr>
        <w:t xml:space="preserve">ó </w:t>
      </w:r>
      <w:r w:rsidR="005A478B">
        <w:rPr>
          <w:color w:val="000000"/>
        </w:rPr>
        <w:t xml:space="preserve">que el perfeccionamiento de la implementación se realizó, por lo cual no </w:t>
      </w:r>
      <w:r>
        <w:rPr>
          <w:color w:val="000000"/>
        </w:rPr>
        <w:t>sería</w:t>
      </w:r>
      <w:r w:rsidR="005A478B">
        <w:rPr>
          <w:color w:val="000000"/>
        </w:rPr>
        <w:t xml:space="preserve"> materia de análisis </w:t>
      </w:r>
      <w:r>
        <w:rPr>
          <w:color w:val="000000"/>
        </w:rPr>
        <w:t>el cierre de la operación. Precisa además</w:t>
      </w:r>
      <w:r w:rsidR="005A478B">
        <w:rPr>
          <w:color w:val="000000"/>
        </w:rPr>
        <w:t xml:space="preserve"> que todas las acciones de esta naturaleza tienen efectos en el mercado y que, en atención a ello, la infracción al artículo 6 de la Ley 26876 se habría configurado de forma inmediata. </w:t>
      </w:r>
    </w:p>
    <w:p w:rsidR="002355F1" w:rsidRDefault="002355F1" w:rsidP="00D936C4">
      <w:pPr>
        <w:pBdr>
          <w:top w:val="nil"/>
          <w:left w:val="nil"/>
          <w:bottom w:val="nil"/>
          <w:right w:val="nil"/>
          <w:between w:val="nil"/>
        </w:pBdr>
        <w:spacing w:line="360" w:lineRule="auto"/>
        <w:jc w:val="both"/>
        <w:rPr>
          <w:color w:val="000000"/>
        </w:rPr>
      </w:pPr>
    </w:p>
    <w:p w:rsidR="002355F1" w:rsidRPr="00CC37BB" w:rsidRDefault="005A478B" w:rsidP="00D936C4">
      <w:pPr>
        <w:pBdr>
          <w:top w:val="nil"/>
          <w:left w:val="nil"/>
          <w:bottom w:val="nil"/>
          <w:right w:val="nil"/>
          <w:between w:val="nil"/>
        </w:pBdr>
        <w:spacing w:line="360" w:lineRule="auto"/>
        <w:ind w:left="720"/>
        <w:jc w:val="both"/>
        <w:rPr>
          <w:color w:val="000000"/>
          <w:sz w:val="20"/>
          <w:szCs w:val="20"/>
        </w:rPr>
      </w:pPr>
      <w:r w:rsidRPr="00CC37BB">
        <w:rPr>
          <w:color w:val="000000"/>
          <w:sz w:val="20"/>
          <w:szCs w:val="20"/>
        </w:rPr>
        <w:t>9. (...) se ha verificado que dichos efectos se han producido como consecuencia de la sola realización de la operación notificada por Enel, ya que esta implicó la modificación automática de la estructura de control de las empresas involucradas en el Perú.</w:t>
      </w:r>
    </w:p>
    <w:p w:rsidR="002355F1" w:rsidRDefault="002355F1" w:rsidP="00D936C4">
      <w:pPr>
        <w:pBdr>
          <w:top w:val="nil"/>
          <w:left w:val="nil"/>
          <w:bottom w:val="nil"/>
          <w:right w:val="nil"/>
          <w:between w:val="nil"/>
        </w:pBdr>
        <w:spacing w:line="360" w:lineRule="auto"/>
        <w:ind w:left="720"/>
        <w:jc w:val="both"/>
        <w:rPr>
          <w:color w:val="000000"/>
          <w:sz w:val="22"/>
          <w:szCs w:val="22"/>
        </w:rPr>
      </w:pPr>
    </w:p>
    <w:p w:rsidR="002355F1" w:rsidRDefault="005A478B" w:rsidP="00D936C4">
      <w:pPr>
        <w:pBdr>
          <w:top w:val="nil"/>
          <w:left w:val="nil"/>
          <w:bottom w:val="nil"/>
          <w:right w:val="nil"/>
          <w:between w:val="nil"/>
        </w:pBdr>
        <w:spacing w:line="360" w:lineRule="auto"/>
        <w:jc w:val="both"/>
        <w:rPr>
          <w:color w:val="000000"/>
        </w:rPr>
      </w:pPr>
      <w:r>
        <w:rPr>
          <w:color w:val="000000"/>
        </w:rPr>
        <w:t xml:space="preserve">La Sala, respecto a la medida, identifica que si bien no ejercieron actos de control directo, la adopción de la medida de suspensión de los efectos comunicados por los agentes del sector eléctrico a la Comisión Nacional Supervisora de Empresas y Valores fue una demostración de la realización de la concentración y del ejercicio del control exclusivo por parte de Enel propio de la operación. Ello en tanto la medida </w:t>
      </w:r>
      <w:r w:rsidR="004418B3">
        <w:rPr>
          <w:color w:val="000000"/>
        </w:rPr>
        <w:t>propuesta</w:t>
      </w:r>
      <w:r>
        <w:rPr>
          <w:color w:val="000000"/>
        </w:rPr>
        <w:t xml:space="preserve"> respondía a los intereses de Enel en no caer en un supuesto de infracción y </w:t>
      </w:r>
      <w:r w:rsidR="004418B3">
        <w:rPr>
          <w:color w:val="000000"/>
        </w:rPr>
        <w:t>constituía prueba del reconocimiento de</w:t>
      </w:r>
      <w:r>
        <w:rPr>
          <w:color w:val="000000"/>
        </w:rPr>
        <w:t xml:space="preserve"> la competencia de la autoridad.</w:t>
      </w:r>
    </w:p>
    <w:p w:rsidR="002355F1" w:rsidRDefault="002355F1" w:rsidP="00D936C4">
      <w:pPr>
        <w:pBdr>
          <w:top w:val="nil"/>
          <w:left w:val="nil"/>
          <w:bottom w:val="nil"/>
          <w:right w:val="nil"/>
          <w:between w:val="nil"/>
        </w:pBdr>
        <w:spacing w:line="360" w:lineRule="auto"/>
        <w:jc w:val="both"/>
        <w:rPr>
          <w:color w:val="000000"/>
        </w:rPr>
      </w:pPr>
    </w:p>
    <w:p w:rsidR="002355F1" w:rsidRPr="00CC37BB" w:rsidRDefault="005A478B" w:rsidP="00D936C4">
      <w:pPr>
        <w:spacing w:line="360" w:lineRule="auto"/>
        <w:ind w:left="720"/>
        <w:jc w:val="both"/>
        <w:rPr>
          <w:color w:val="000000"/>
          <w:sz w:val="20"/>
          <w:szCs w:val="20"/>
        </w:rPr>
      </w:pPr>
      <w:r w:rsidRPr="00CC37BB">
        <w:rPr>
          <w:color w:val="000000"/>
          <w:sz w:val="20"/>
          <w:szCs w:val="20"/>
        </w:rPr>
        <w:t xml:space="preserve">72. (...) las medidas dispuestas por Enel solo reflejan la potestad de disponer que se mantengan las condiciones preexistentes una vez producido el cierre de la operación, siendo que esto último es evidencia del ejercicio mismo del control que esta ostenta como resultado de la adquisición de acciones de Acciona. </w:t>
      </w:r>
    </w:p>
    <w:p w:rsidR="002355F1" w:rsidRDefault="002355F1" w:rsidP="00D936C4">
      <w:pPr>
        <w:spacing w:line="360" w:lineRule="auto"/>
        <w:ind w:left="720"/>
        <w:jc w:val="both"/>
        <w:rPr>
          <w:color w:val="000000"/>
        </w:rPr>
      </w:pPr>
    </w:p>
    <w:p w:rsidR="002355F1" w:rsidRDefault="005A478B" w:rsidP="00D936C4">
      <w:pPr>
        <w:pBdr>
          <w:top w:val="nil"/>
          <w:left w:val="nil"/>
          <w:bottom w:val="nil"/>
          <w:right w:val="nil"/>
          <w:between w:val="nil"/>
        </w:pBdr>
        <w:spacing w:line="360" w:lineRule="auto"/>
        <w:jc w:val="both"/>
        <w:rPr>
          <w:color w:val="000000"/>
        </w:rPr>
      </w:pPr>
      <w:r>
        <w:rPr>
          <w:color w:val="000000"/>
        </w:rPr>
        <w:lastRenderedPageBreak/>
        <w:t xml:space="preserve">La posición del informe, acorde a lo expuesto, es que se considere como infracción acciones como realizar la concentración sin la autorización de la autoridad de competencia. Sin embargo, es necesario comprender que, ante la poca claridad sobre la implementación de la concentración así como la realidad de las operaciones comerciales, cabe la posibilidad que los agentes propongan medidas de suspensión de los efectos de la concentración que recaigan sobre los derechos políticos o todo aquello que motive cambios en la estructura de control. </w:t>
      </w:r>
    </w:p>
    <w:p w:rsidR="002355F1" w:rsidRDefault="002355F1" w:rsidP="00D936C4">
      <w:pPr>
        <w:pBdr>
          <w:top w:val="nil"/>
          <w:left w:val="nil"/>
          <w:bottom w:val="nil"/>
          <w:right w:val="nil"/>
          <w:between w:val="nil"/>
        </w:pBdr>
        <w:spacing w:line="360" w:lineRule="auto"/>
        <w:jc w:val="both"/>
      </w:pPr>
    </w:p>
    <w:p w:rsidR="002355F1" w:rsidRDefault="005A478B" w:rsidP="00D936C4">
      <w:pPr>
        <w:spacing w:line="360" w:lineRule="auto"/>
        <w:jc w:val="both"/>
        <w:rPr>
          <w:color w:val="000000"/>
        </w:rPr>
      </w:pPr>
      <w:r>
        <w:rPr>
          <w:color w:val="000000"/>
        </w:rPr>
        <w:t xml:space="preserve">Ante las medidas de dispensa de efectos es posible identificar dos posiciones: (i) la adoptada por la Comisión en primera instancia de ceñirse a la literalidad de la norma y que dicha medida no era posible de ser analizada por el control de concentraciones por ser una solución respecto de los efectos de la operación, situación que podía ser objeto del control de conductas, más no del control de concentraciones; y, (ii) la posición de la Sala que en su análisis identificó que la medida propuesta respondía a los intereses de Enel, era una muestra de control indirecto y no garantizaba una independencia de los derechos políticos. </w:t>
      </w:r>
    </w:p>
    <w:p w:rsidR="002355F1" w:rsidRDefault="002355F1" w:rsidP="00D936C4">
      <w:pPr>
        <w:spacing w:line="360" w:lineRule="auto"/>
        <w:jc w:val="both"/>
        <w:rPr>
          <w:color w:val="000000"/>
        </w:rPr>
      </w:pPr>
    </w:p>
    <w:p w:rsidR="00AD5670" w:rsidRDefault="005A478B" w:rsidP="004418B3">
      <w:pPr>
        <w:spacing w:line="360" w:lineRule="auto"/>
        <w:jc w:val="both"/>
        <w:rPr>
          <w:color w:val="000000"/>
        </w:rPr>
      </w:pPr>
      <w:r>
        <w:rPr>
          <w:color w:val="000000"/>
        </w:rPr>
        <w:t xml:space="preserve">Mi posición </w:t>
      </w:r>
      <w:r w:rsidR="00AD5670">
        <w:rPr>
          <w:color w:val="000000"/>
        </w:rPr>
        <w:t xml:space="preserve">está acorde a que, en el caso Enel, </w:t>
      </w:r>
      <w:r>
        <w:rPr>
          <w:color w:val="000000"/>
        </w:rPr>
        <w:t xml:space="preserve">existió un cierre </w:t>
      </w:r>
      <w:r w:rsidR="00AD5670">
        <w:rPr>
          <w:color w:val="000000"/>
        </w:rPr>
        <w:t>anticipado</w:t>
      </w:r>
      <w:r>
        <w:rPr>
          <w:color w:val="000000"/>
        </w:rPr>
        <w:t xml:space="preserve"> que tuvo efectos directos en la dinámica de competencia del sector eléctrico</w:t>
      </w:r>
      <w:r w:rsidR="00AD5670">
        <w:rPr>
          <w:color w:val="000000"/>
        </w:rPr>
        <w:t xml:space="preserve"> y que los agentes involucrados no demostraron medidas suficientes ni oportunas para la exclusión los efectos</w:t>
      </w:r>
      <w:r>
        <w:rPr>
          <w:color w:val="000000"/>
        </w:rPr>
        <w:t xml:space="preserve">. </w:t>
      </w:r>
      <w:r w:rsidR="00AD5670">
        <w:rPr>
          <w:color w:val="000000"/>
        </w:rPr>
        <w:t>Ahora bien</w:t>
      </w:r>
      <w:r>
        <w:rPr>
          <w:color w:val="000000"/>
        </w:rPr>
        <w:t xml:space="preserve">, considero que </w:t>
      </w:r>
      <w:r w:rsidR="00AD5670">
        <w:rPr>
          <w:color w:val="000000"/>
        </w:rPr>
        <w:t>l</w:t>
      </w:r>
      <w:r>
        <w:rPr>
          <w:color w:val="000000"/>
        </w:rPr>
        <w:t xml:space="preserve">a Sala abre la discusión sobre </w:t>
      </w:r>
      <w:r w:rsidR="004418B3">
        <w:rPr>
          <w:color w:val="000000"/>
        </w:rPr>
        <w:t>la posibilidad de implementar dichas medidas en el sistema peruano. A efectos de atender una implementación de las medidas de exclusión de los efectos</w:t>
      </w:r>
      <w:r w:rsidR="00AD5670">
        <w:rPr>
          <w:color w:val="000000"/>
        </w:rPr>
        <w:t xml:space="preserve"> en el futuro, parte de la tarea es identificar aquellas </w:t>
      </w:r>
      <w:r>
        <w:rPr>
          <w:color w:val="000000"/>
        </w:rPr>
        <w:t>manifestaci</w:t>
      </w:r>
      <w:r w:rsidR="00AD5670">
        <w:rPr>
          <w:color w:val="000000"/>
        </w:rPr>
        <w:t xml:space="preserve">ones </w:t>
      </w:r>
      <w:r>
        <w:rPr>
          <w:color w:val="000000"/>
        </w:rPr>
        <w:t xml:space="preserve">de la autonomía </w:t>
      </w:r>
      <w:r>
        <w:t>de las partes</w:t>
      </w:r>
      <w:r w:rsidR="00AD5670">
        <w:rPr>
          <w:color w:val="000000"/>
        </w:rPr>
        <w:t xml:space="preserve"> que podrían ser consideradas como herramientas adecuadas de dispensa de los efectos. </w:t>
      </w:r>
    </w:p>
    <w:p w:rsidR="002355F1" w:rsidRDefault="00AD5670" w:rsidP="004418B3">
      <w:pPr>
        <w:spacing w:line="360" w:lineRule="auto"/>
        <w:jc w:val="both"/>
        <w:rPr>
          <w:color w:val="000000"/>
        </w:rPr>
      </w:pPr>
      <w:r>
        <w:rPr>
          <w:color w:val="000000"/>
        </w:rPr>
        <w:t xml:space="preserve"> </w:t>
      </w:r>
      <w:r w:rsidR="005A478B">
        <w:rPr>
          <w:color w:val="000000"/>
        </w:rPr>
        <w:t xml:space="preserve"> </w:t>
      </w:r>
    </w:p>
    <w:p w:rsidR="002355F1" w:rsidRDefault="005A478B" w:rsidP="00123ED2">
      <w:pPr>
        <w:pStyle w:val="Ttulo5"/>
        <w:numPr>
          <w:ilvl w:val="3"/>
          <w:numId w:val="3"/>
        </w:numPr>
        <w:spacing w:line="360" w:lineRule="auto"/>
        <w:rPr>
          <w:color w:val="000000"/>
          <w:sz w:val="24"/>
          <w:szCs w:val="24"/>
        </w:rPr>
      </w:pPr>
      <w:bookmarkStart w:id="43" w:name="_Toc47387750"/>
      <w:r>
        <w:rPr>
          <w:color w:val="000000"/>
          <w:sz w:val="24"/>
          <w:szCs w:val="24"/>
        </w:rPr>
        <w:t>Propuesta</w:t>
      </w:r>
      <w:bookmarkEnd w:id="43"/>
    </w:p>
    <w:p w:rsidR="002355F1" w:rsidRDefault="002355F1" w:rsidP="00D936C4">
      <w:pPr>
        <w:spacing w:line="360" w:lineRule="auto"/>
        <w:rPr>
          <w:color w:val="000000"/>
        </w:rPr>
      </w:pPr>
    </w:p>
    <w:p w:rsidR="002355F1" w:rsidRDefault="005A478B" w:rsidP="00D936C4">
      <w:pPr>
        <w:spacing w:line="360" w:lineRule="auto"/>
        <w:jc w:val="both"/>
        <w:rPr>
          <w:color w:val="000000"/>
        </w:rPr>
      </w:pPr>
      <w:r>
        <w:rPr>
          <w:color w:val="000000"/>
        </w:rPr>
        <w:t>La velocidad y realidad de los negocios no se encuentra alineada perfectamente con los plazos del procedimiento de autorización realizado por la autoridad de competencia. Sin que esta realidad no implique el descarte del control o signifique un reproche a la autoridad, si obliga a replantear el manejo estricto de determinadas figuras como la obligación  de suspensión</w:t>
      </w:r>
      <w:r w:rsidR="00512E63">
        <w:rPr>
          <w:color w:val="000000"/>
        </w:rPr>
        <w:t>. Recordemos pues, que en la realidad,  esta obligacion enfrenta aspectos como</w:t>
      </w:r>
      <w:r>
        <w:rPr>
          <w:color w:val="000000"/>
        </w:rPr>
        <w:t xml:space="preserve"> la </w:t>
      </w:r>
      <w:r>
        <w:rPr>
          <w:color w:val="000000"/>
        </w:rPr>
        <w:lastRenderedPageBreak/>
        <w:t>participación de diversas autoridades</w:t>
      </w:r>
      <w:r w:rsidR="00512E63">
        <w:rPr>
          <w:color w:val="000000"/>
        </w:rPr>
        <w:t xml:space="preserve"> de otros países, así como</w:t>
      </w:r>
      <w:r>
        <w:rPr>
          <w:color w:val="000000"/>
        </w:rPr>
        <w:t xml:space="preserve"> la sujeción a plazos, condiciones y otros aspectos propios de la autonomía privada. </w:t>
      </w:r>
    </w:p>
    <w:p w:rsidR="002355F1" w:rsidRDefault="002355F1" w:rsidP="00D936C4">
      <w:pPr>
        <w:spacing w:line="360" w:lineRule="auto"/>
        <w:jc w:val="both"/>
        <w:rPr>
          <w:color w:val="000000"/>
        </w:rPr>
      </w:pPr>
    </w:p>
    <w:p w:rsidR="001C06C8" w:rsidRDefault="001C06C8" w:rsidP="00D936C4">
      <w:pPr>
        <w:spacing w:line="360" w:lineRule="auto"/>
        <w:jc w:val="both"/>
        <w:rPr>
          <w:color w:val="000000"/>
        </w:rPr>
      </w:pPr>
      <w:r>
        <w:rPr>
          <w:color w:val="000000"/>
        </w:rPr>
        <w:t xml:space="preserve">Ahora bien, la velocidad de las transacciones y el apuro que apremia a diversos agentes para cerrar parcialmente las operaciones de concentración puede ser un motivo interesante para evaluar la conveniencia de las medidas de dispensa. Ya hemos visto que son posibles de revertir  y las autoridades de competencia cuentan con las facultades para realizar dichas acciones. </w:t>
      </w:r>
      <w:r w:rsidR="005A478B">
        <w:rPr>
          <w:color w:val="000000"/>
        </w:rPr>
        <w:t xml:space="preserve">¿Es esta la mejor situación para la autoridad? No, recurrir a la potestad de revertir los efectos de una operación realizada en contra de la voluntad de la autoridad no es el objetivo y por ello es que dichas conductas deben ser sancionadas con severidad.  </w:t>
      </w:r>
    </w:p>
    <w:p w:rsidR="001C06C8" w:rsidRDefault="001C06C8" w:rsidP="00D936C4">
      <w:pPr>
        <w:spacing w:line="360" w:lineRule="auto"/>
        <w:jc w:val="both"/>
        <w:rPr>
          <w:color w:val="000000"/>
        </w:rPr>
      </w:pPr>
    </w:p>
    <w:p w:rsidR="001C06C8" w:rsidRDefault="005A478B" w:rsidP="00D936C4">
      <w:pPr>
        <w:spacing w:line="360" w:lineRule="auto"/>
        <w:jc w:val="both"/>
        <w:rPr>
          <w:color w:val="000000"/>
        </w:rPr>
      </w:pPr>
      <w:r>
        <w:rPr>
          <w:color w:val="000000"/>
        </w:rPr>
        <w:t xml:space="preserve">No obstante, </w:t>
      </w:r>
      <w:r w:rsidR="001C06C8">
        <w:rPr>
          <w:color w:val="000000"/>
        </w:rPr>
        <w:t>como hemos precisado, l</w:t>
      </w:r>
      <w:r>
        <w:rPr>
          <w:color w:val="000000"/>
        </w:rPr>
        <w:t xml:space="preserve">a realidad ha superado al derecho y, para el caso particular de la concentración sin autorización tras la notificación de la operación, resulta más acorde a la protección del interés del administrado que, en las jurisdicciones donde su operación haya sido aprobada </w:t>
      </w:r>
      <w:r w:rsidR="001C06C8">
        <w:rPr>
          <w:color w:val="000000"/>
        </w:rPr>
        <w:t xml:space="preserve">(ya sea por </w:t>
      </w:r>
      <w:r>
        <w:rPr>
          <w:color w:val="000000"/>
        </w:rPr>
        <w:t xml:space="preserve">haber </w:t>
      </w:r>
      <w:r w:rsidR="001C06C8">
        <w:rPr>
          <w:color w:val="000000"/>
        </w:rPr>
        <w:t>presentado con anterioridad la solicitud o haber sido evaluada bajo un</w:t>
      </w:r>
      <w:r>
        <w:rPr>
          <w:color w:val="000000"/>
        </w:rPr>
        <w:t xml:space="preserve"> procedimiento rápido</w:t>
      </w:r>
      <w:r w:rsidR="001C06C8">
        <w:rPr>
          <w:color w:val="000000"/>
        </w:rPr>
        <w:t>)</w:t>
      </w:r>
      <w:r>
        <w:rPr>
          <w:color w:val="000000"/>
        </w:rPr>
        <w:t xml:space="preserve">, </w:t>
      </w:r>
      <w:r w:rsidR="001C06C8">
        <w:rPr>
          <w:color w:val="000000"/>
        </w:rPr>
        <w:t xml:space="preserve">se </w:t>
      </w:r>
      <w:r>
        <w:rPr>
          <w:color w:val="000000"/>
        </w:rPr>
        <w:t>proceda a implementar</w:t>
      </w:r>
      <w:r w:rsidR="001C06C8">
        <w:rPr>
          <w:color w:val="000000"/>
        </w:rPr>
        <w:t xml:space="preserve"> y, al mismo tiempo, </w:t>
      </w:r>
      <w:r>
        <w:rPr>
          <w:color w:val="000000"/>
        </w:rPr>
        <w:t xml:space="preserve"> </w:t>
      </w:r>
      <w:r w:rsidR="001C06C8">
        <w:rPr>
          <w:color w:val="000000"/>
        </w:rPr>
        <w:t>se permita que continúe suspendidos los efectos del cierre</w:t>
      </w:r>
      <w:r>
        <w:rPr>
          <w:color w:val="000000"/>
        </w:rPr>
        <w:t xml:space="preserve"> en </w:t>
      </w:r>
      <w:r w:rsidR="001C06C8">
        <w:rPr>
          <w:color w:val="000000"/>
        </w:rPr>
        <w:t>aquellas</w:t>
      </w:r>
      <w:r>
        <w:rPr>
          <w:color w:val="000000"/>
        </w:rPr>
        <w:t xml:space="preserve"> jurisdicciones donde </w:t>
      </w:r>
      <w:r w:rsidR="001C06C8">
        <w:rPr>
          <w:color w:val="000000"/>
        </w:rPr>
        <w:t>esté</w:t>
      </w:r>
      <w:r>
        <w:rPr>
          <w:color w:val="000000"/>
        </w:rPr>
        <w:t xml:space="preserve"> pendiente la resolución de autorización. </w:t>
      </w:r>
    </w:p>
    <w:p w:rsidR="001C06C8" w:rsidRDefault="001C06C8" w:rsidP="00D936C4">
      <w:pPr>
        <w:spacing w:line="360" w:lineRule="auto"/>
        <w:jc w:val="both"/>
        <w:rPr>
          <w:color w:val="000000"/>
        </w:rPr>
      </w:pPr>
    </w:p>
    <w:p w:rsidR="002355F1" w:rsidRDefault="005A478B" w:rsidP="00D936C4">
      <w:pPr>
        <w:spacing w:line="360" w:lineRule="auto"/>
        <w:jc w:val="both"/>
        <w:rPr>
          <w:color w:val="000000"/>
        </w:rPr>
      </w:pPr>
      <w:r>
        <w:rPr>
          <w:color w:val="000000"/>
        </w:rPr>
        <w:t>Los acuerdos de exclusión, en ese sentido, no pretenden desconocer la autoridad de competencia</w:t>
      </w:r>
      <w:r w:rsidR="001C06C8">
        <w:rPr>
          <w:color w:val="000000"/>
        </w:rPr>
        <w:t>,</w:t>
      </w:r>
      <w:r>
        <w:rPr>
          <w:color w:val="000000"/>
        </w:rPr>
        <w:t xml:space="preserve"> sino que proponen implementaciones parciales lo cual no solo permite el desarrollo de sus actividades donde los actos de concentración hayan sido </w:t>
      </w:r>
      <w:r w:rsidR="001C06C8">
        <w:rPr>
          <w:color w:val="000000"/>
        </w:rPr>
        <w:t xml:space="preserve">debidamente </w:t>
      </w:r>
      <w:r>
        <w:rPr>
          <w:color w:val="000000"/>
        </w:rPr>
        <w:t xml:space="preserve">aprobados, sino que reconociendo la competencia de las autoridades encargadas del control, adopta las medidas para no </w:t>
      </w:r>
      <w:r w:rsidR="001C06C8">
        <w:rPr>
          <w:color w:val="000000"/>
        </w:rPr>
        <w:t>evitar el despliegue de los efectos propios del cierre</w:t>
      </w:r>
      <w:r>
        <w:rPr>
          <w:color w:val="000000"/>
        </w:rPr>
        <w:t xml:space="preserve"> hasta el pronunciamiento de la autoridad. </w:t>
      </w:r>
    </w:p>
    <w:p w:rsidR="002355F1" w:rsidRDefault="002355F1" w:rsidP="00D936C4">
      <w:pPr>
        <w:spacing w:line="360" w:lineRule="auto"/>
        <w:jc w:val="both"/>
      </w:pPr>
    </w:p>
    <w:p w:rsidR="002355F1" w:rsidRDefault="005A478B" w:rsidP="00D936C4">
      <w:pPr>
        <w:spacing w:line="360" w:lineRule="auto"/>
        <w:jc w:val="both"/>
        <w:rPr>
          <w:color w:val="000000"/>
        </w:rPr>
      </w:pPr>
      <w:r>
        <w:rPr>
          <w:color w:val="000000"/>
        </w:rPr>
        <w:t>Tal es así que en la Comunidad Europea, la obligación de suspensión no solo tiene una consecuencia de sanción, sino que establece al régimen una  excepción conforme se ha expuesto en los fundamentos del Reglamento</w:t>
      </w:r>
      <w:r w:rsidR="002238CA">
        <w:rPr>
          <w:color w:val="000000"/>
        </w:rPr>
        <w:t xml:space="preserve"> </w:t>
      </w:r>
      <w:r>
        <w:rPr>
          <w:color w:val="000000"/>
        </w:rPr>
        <w:t>139/2004</w:t>
      </w:r>
      <w:r w:rsidR="002238CA">
        <w:rPr>
          <w:color w:val="000000"/>
        </w:rPr>
        <w:t>:</w:t>
      </w:r>
    </w:p>
    <w:p w:rsidR="002355F1" w:rsidRDefault="002355F1" w:rsidP="00D936C4">
      <w:pPr>
        <w:spacing w:line="360" w:lineRule="auto"/>
        <w:jc w:val="both"/>
        <w:rPr>
          <w:color w:val="000000"/>
        </w:rPr>
      </w:pPr>
    </w:p>
    <w:p w:rsidR="002355F1" w:rsidRPr="00CC37BB" w:rsidRDefault="005A478B" w:rsidP="00D936C4">
      <w:pPr>
        <w:spacing w:line="360" w:lineRule="auto"/>
        <w:ind w:left="720"/>
        <w:jc w:val="both"/>
        <w:rPr>
          <w:color w:val="000000"/>
          <w:sz w:val="20"/>
          <w:szCs w:val="20"/>
        </w:rPr>
      </w:pPr>
      <w:r w:rsidRPr="00CC37BB">
        <w:rPr>
          <w:color w:val="000000"/>
          <w:sz w:val="20"/>
          <w:szCs w:val="20"/>
        </w:rPr>
        <w:t xml:space="preserve">(34) (...) cuando resulte adecuado ha de permitirse la dispensa de esta obligación de suspensión a solicitud de las empresas afectadas. Al decidir si concede o no una dispensa de la obligación de </w:t>
      </w:r>
      <w:r w:rsidRPr="00CC37BB">
        <w:rPr>
          <w:color w:val="000000"/>
          <w:sz w:val="20"/>
          <w:szCs w:val="20"/>
        </w:rPr>
        <w:lastRenderedPageBreak/>
        <w:t>suspensión, la Comisión debe tener en cuenta todos los factores pertinentes, tales como la naturaleza y gravedad del perjuicio causado a las empresas afectadas o a terceros y la amenaza que la concentración suponga para la competencia. No obstante, en aras de la seguridad jurídica debe protegerse, en la medida de lo necesario, la validez de las operaciones” (Consejo de la Unión Europea 2004: párrafo 34).</w:t>
      </w:r>
    </w:p>
    <w:p w:rsidR="002355F1" w:rsidRDefault="002355F1" w:rsidP="00D936C4">
      <w:pPr>
        <w:spacing w:line="360" w:lineRule="auto"/>
        <w:ind w:left="720"/>
        <w:jc w:val="both"/>
        <w:rPr>
          <w:color w:val="000000"/>
          <w:sz w:val="22"/>
          <w:szCs w:val="22"/>
        </w:rPr>
      </w:pPr>
    </w:p>
    <w:p w:rsidR="002355F1" w:rsidRDefault="005A478B" w:rsidP="00D936C4">
      <w:pPr>
        <w:spacing w:line="360" w:lineRule="auto"/>
        <w:jc w:val="both"/>
        <w:rPr>
          <w:color w:val="000000"/>
        </w:rPr>
      </w:pPr>
      <w:r>
        <w:rPr>
          <w:color w:val="000000"/>
        </w:rPr>
        <w:t>Asimismo, en el mismo Reglamento:</w:t>
      </w:r>
    </w:p>
    <w:p w:rsidR="002355F1" w:rsidRPr="002238CA" w:rsidRDefault="005A478B" w:rsidP="002238CA">
      <w:pPr>
        <w:spacing w:before="160" w:after="160" w:line="360" w:lineRule="auto"/>
        <w:ind w:left="940" w:right="-40"/>
        <w:rPr>
          <w:color w:val="000000"/>
          <w:sz w:val="20"/>
          <w:szCs w:val="20"/>
        </w:rPr>
      </w:pPr>
      <w:r w:rsidRPr="00CC37BB">
        <w:rPr>
          <w:b/>
          <w:bCs/>
          <w:color w:val="000000"/>
          <w:sz w:val="20"/>
          <w:szCs w:val="20"/>
        </w:rPr>
        <w:t>Reglamento 139/2004</w:t>
      </w:r>
      <w:r w:rsidR="002238CA">
        <w:rPr>
          <w:b/>
          <w:bCs/>
          <w:color w:val="000000"/>
          <w:sz w:val="20"/>
          <w:szCs w:val="20"/>
        </w:rPr>
        <w:br/>
      </w:r>
      <w:r w:rsidRPr="00CC37BB">
        <w:rPr>
          <w:color w:val="000000"/>
          <w:sz w:val="20"/>
          <w:szCs w:val="20"/>
        </w:rPr>
        <w:t>Artículo 7.- Suspensión de la concentración</w:t>
      </w:r>
      <w:r w:rsidR="00145AB1">
        <w:rPr>
          <w:color w:val="000000"/>
          <w:sz w:val="20"/>
          <w:szCs w:val="20"/>
        </w:rPr>
        <w:t xml:space="preserve"> </w:t>
      </w:r>
      <w:r w:rsidR="002238CA">
        <w:rPr>
          <w:color w:val="000000"/>
          <w:sz w:val="20"/>
          <w:szCs w:val="20"/>
        </w:rPr>
        <w:br/>
      </w:r>
      <w:r w:rsidRPr="00CC37BB">
        <w:rPr>
          <w:color w:val="000000"/>
          <w:sz w:val="20"/>
          <w:szCs w:val="20"/>
        </w:rPr>
        <w:t>(...)</w:t>
      </w:r>
      <w:r w:rsidR="002238CA">
        <w:rPr>
          <w:color w:val="000000"/>
          <w:sz w:val="20"/>
          <w:szCs w:val="20"/>
        </w:rPr>
        <w:br/>
      </w:r>
      <w:r w:rsidRPr="00CC37BB">
        <w:rPr>
          <w:color w:val="000000"/>
          <w:sz w:val="20"/>
          <w:szCs w:val="20"/>
        </w:rPr>
        <w:t xml:space="preserve">3. La Comisión, previa solicitud, podrá conceder una dispensa de las obligaciones previstas en los apartados 1 o 2. La solicitud de dispensa debe estar motivada. </w:t>
      </w:r>
      <w:r w:rsidR="0066148C">
        <w:rPr>
          <w:color w:val="000000"/>
          <w:sz w:val="20"/>
          <w:szCs w:val="20"/>
        </w:rPr>
        <w:t>(…)</w:t>
      </w:r>
      <w:r w:rsidRPr="00CC37BB">
        <w:rPr>
          <w:color w:val="000000"/>
          <w:sz w:val="20"/>
          <w:szCs w:val="20"/>
        </w:rPr>
        <w:t xml:space="preserve">. </w:t>
      </w:r>
      <w:r w:rsidRPr="00CC37BB">
        <w:rPr>
          <w:b/>
          <w:color w:val="000000"/>
          <w:sz w:val="20"/>
          <w:szCs w:val="20"/>
        </w:rPr>
        <w:t xml:space="preserve">Tal dispensa podrá ir acompañada de condiciones y obligaciones destinadas a garantizar las condiciones de una competencia efectiva. </w:t>
      </w:r>
      <w:r w:rsidRPr="00CC37BB">
        <w:rPr>
          <w:color w:val="000000"/>
          <w:sz w:val="20"/>
          <w:szCs w:val="20"/>
        </w:rPr>
        <w:t>Podrá ser solicitada y concedida en cualquier momento, tanto antes de la notificación como después de la operación.</w:t>
      </w:r>
    </w:p>
    <w:p w:rsidR="002355F1" w:rsidRDefault="005A478B" w:rsidP="00D936C4">
      <w:pPr>
        <w:spacing w:line="360" w:lineRule="auto"/>
        <w:jc w:val="both"/>
        <w:rPr>
          <w:color w:val="000000"/>
        </w:rPr>
      </w:pPr>
      <w:r>
        <w:rPr>
          <w:color w:val="000000"/>
        </w:rPr>
        <w:t xml:space="preserve">Por lo expuesto y, fundamentalmente, por la apertura a la discusión de las medidas de dispensa realizada en el pronunciamiento de la Sala, para el caso Enel cabe analizar dos aspectos fundamentales de la dispensa propuesta: (i) si esta era </w:t>
      </w:r>
      <w:r w:rsidRPr="002238CA">
        <w:rPr>
          <w:i/>
          <w:color w:val="000000"/>
        </w:rPr>
        <w:t>suficiente</w:t>
      </w:r>
      <w:r>
        <w:rPr>
          <w:color w:val="000000"/>
        </w:rPr>
        <w:t xml:space="preserve"> para limitar los efectos del cierre de operación en España; y (ii) si esta fue </w:t>
      </w:r>
      <w:r w:rsidRPr="002238CA">
        <w:rPr>
          <w:i/>
          <w:color w:val="000000"/>
        </w:rPr>
        <w:t>oportuna</w:t>
      </w:r>
      <w:r>
        <w:rPr>
          <w:color w:val="000000"/>
        </w:rPr>
        <w:t>, siendo ambas condiciones fundamentales para que nos encontremos frente a una real dispensa</w:t>
      </w:r>
      <w:r w:rsidR="002238CA">
        <w:rPr>
          <w:color w:val="000000"/>
        </w:rPr>
        <w:t>. ¿Qué es una “real” dispensa? Entendemos a ella como una</w:t>
      </w:r>
      <w:r>
        <w:rPr>
          <w:color w:val="000000"/>
        </w:rPr>
        <w:t xml:space="preserve"> manifestación de la autonomía de las partes, </w:t>
      </w:r>
      <w:r w:rsidR="002238CA">
        <w:rPr>
          <w:color w:val="000000"/>
        </w:rPr>
        <w:t xml:space="preserve"> que garantiza </w:t>
      </w:r>
      <w:r>
        <w:rPr>
          <w:color w:val="000000"/>
        </w:rPr>
        <w:t xml:space="preserve">a la Administración el propósito de la norma de concentraciones y a las partes la implementación parcial de la operación sin caer en supuestos de infracción. </w:t>
      </w:r>
    </w:p>
    <w:p w:rsidR="002355F1" w:rsidRDefault="005A478B" w:rsidP="00123ED2">
      <w:pPr>
        <w:pStyle w:val="Ttulo6"/>
        <w:numPr>
          <w:ilvl w:val="4"/>
          <w:numId w:val="3"/>
        </w:numPr>
        <w:spacing w:line="360" w:lineRule="auto"/>
        <w:rPr>
          <w:color w:val="000000"/>
          <w:sz w:val="24"/>
          <w:szCs w:val="24"/>
        </w:rPr>
      </w:pPr>
      <w:bookmarkStart w:id="44" w:name="_Toc47387751"/>
      <w:r>
        <w:rPr>
          <w:color w:val="000000"/>
          <w:sz w:val="24"/>
          <w:szCs w:val="24"/>
        </w:rPr>
        <w:t>¿Fue la medida de dispensa</w:t>
      </w:r>
      <w:r w:rsidR="00A60F31">
        <w:rPr>
          <w:color w:val="000000"/>
          <w:sz w:val="24"/>
          <w:szCs w:val="24"/>
        </w:rPr>
        <w:t xml:space="preserve"> propuesta</w:t>
      </w:r>
      <w:r>
        <w:rPr>
          <w:color w:val="000000"/>
          <w:sz w:val="24"/>
          <w:szCs w:val="24"/>
        </w:rPr>
        <w:t xml:space="preserve"> suficiente?</w:t>
      </w:r>
      <w:bookmarkEnd w:id="44"/>
    </w:p>
    <w:p w:rsidR="002355F1" w:rsidRDefault="005A478B" w:rsidP="00D936C4">
      <w:pPr>
        <w:spacing w:line="360" w:lineRule="auto"/>
        <w:jc w:val="both"/>
        <w:rPr>
          <w:color w:val="000000"/>
        </w:rPr>
      </w:pPr>
      <w:r>
        <w:rPr>
          <w:color w:val="000000"/>
        </w:rPr>
        <w:t>La medida de dispensa contenía, principalmente, instrucciones a los representantes de Endesa Latinoamérica en las sociedades peruanas para que no realicen actos directo o indirectos del control exclusivo. Esto implicaba no que dejen de realizar actos de control, pues ellos ya participaban de las sociedades peruanas, sino que estos actos continúen atendiendo, respecto a Perú, a la lógica de un control conjunto</w:t>
      </w:r>
      <w:r w:rsidR="00A60F31">
        <w:t>. D</w:t>
      </w:r>
      <w:r>
        <w:rPr>
          <w:color w:val="000000"/>
        </w:rPr>
        <w:t>e manera concreta</w:t>
      </w:r>
      <w:r w:rsidR="00A60F31">
        <w:rPr>
          <w:color w:val="000000"/>
        </w:rPr>
        <w:t>,</w:t>
      </w:r>
      <w:r>
        <w:rPr>
          <w:color w:val="000000"/>
        </w:rPr>
        <w:t xml:space="preserve"> se ordenó que no podían ser modificados los órganos de administración de las sociedades ni alterar la política comercial de las mismas. Finalmente, se declaró que no se ejercería</w:t>
      </w:r>
      <w:r w:rsidR="00A60F31">
        <w:rPr>
          <w:color w:val="000000"/>
        </w:rPr>
        <w:t xml:space="preserve">n </w:t>
      </w:r>
      <w:r>
        <w:rPr>
          <w:color w:val="000000"/>
        </w:rPr>
        <w:t>acto</w:t>
      </w:r>
      <w:r w:rsidR="00A60F31">
        <w:rPr>
          <w:color w:val="000000"/>
        </w:rPr>
        <w:t>s</w:t>
      </w:r>
      <w:r>
        <w:rPr>
          <w:color w:val="000000"/>
        </w:rPr>
        <w:t xml:space="preserve"> que implique la modificación de la estructura de control en las sociedades del Grupo Endesa en Perú. </w:t>
      </w:r>
    </w:p>
    <w:p w:rsidR="002355F1" w:rsidRDefault="002355F1" w:rsidP="00D936C4">
      <w:pPr>
        <w:spacing w:line="360" w:lineRule="auto"/>
        <w:jc w:val="both"/>
      </w:pPr>
    </w:p>
    <w:p w:rsidR="002355F1" w:rsidRDefault="005A478B" w:rsidP="00D936C4">
      <w:pPr>
        <w:spacing w:line="360" w:lineRule="auto"/>
        <w:jc w:val="both"/>
        <w:rPr>
          <w:color w:val="000000"/>
        </w:rPr>
      </w:pPr>
      <w:r>
        <w:rPr>
          <w:color w:val="000000"/>
        </w:rPr>
        <w:t xml:space="preserve">Ahora bien, ¿es posible considerar la propuesta como suficiente para suspender los efectos sobre la estructura de control? La medida propuesta en el caso Enel </w:t>
      </w:r>
      <w:r>
        <w:rPr>
          <w:color w:val="000000"/>
          <w:u w:val="single"/>
        </w:rPr>
        <w:t>no fue suficiente</w:t>
      </w:r>
      <w:r w:rsidRPr="00A60F31">
        <w:rPr>
          <w:color w:val="000000"/>
        </w:rPr>
        <w:t xml:space="preserve"> </w:t>
      </w:r>
      <w:r>
        <w:rPr>
          <w:color w:val="000000"/>
        </w:rPr>
        <w:t>al constitu</w:t>
      </w:r>
      <w:r>
        <w:t>ir</w:t>
      </w:r>
      <w:r>
        <w:rPr>
          <w:color w:val="000000"/>
        </w:rPr>
        <w:t xml:space="preserve"> una declaración de buena fe de parte de Endesa Latinoamérica que continuaría actuando conforme al ejercicio de control conjunto entre Acciona y Enel. Más allá del compromiso de no cambiar la estructura de control, no se observa en la propuesta acciones concretas que conlleven a no cambiar la estructura de control. De igual manera, de la fecha de la declaración, 22 de junio de 2009 y comunicada a la </w:t>
      </w:r>
      <w:r>
        <w:rPr>
          <w:color w:val="000000"/>
          <w:highlight w:val="white"/>
        </w:rPr>
        <w:t>Comisión Nacional Supervisora de Empresas y Valores</w:t>
      </w:r>
      <w:r>
        <w:rPr>
          <w:color w:val="000000"/>
        </w:rPr>
        <w:t xml:space="preserve"> el 24 de junio el 2009, la misma responde a la urgencia e interés exclusivo del agente interesado Enel en cerrar la operación y no caer en un supuesto de infracción por adelantamiento a la autoridad o </w:t>
      </w:r>
      <w:r>
        <w:rPr>
          <w:i/>
          <w:color w:val="000000"/>
        </w:rPr>
        <w:t>gun jumping</w:t>
      </w:r>
      <w:r>
        <w:rPr>
          <w:color w:val="000000"/>
        </w:rPr>
        <w:t xml:space="preserve">. </w:t>
      </w:r>
    </w:p>
    <w:p w:rsidR="002355F1" w:rsidRDefault="002355F1" w:rsidP="00D936C4">
      <w:pPr>
        <w:spacing w:line="360" w:lineRule="auto"/>
        <w:jc w:val="both"/>
      </w:pPr>
    </w:p>
    <w:p w:rsidR="002355F1" w:rsidRDefault="005A478B" w:rsidP="00D936C4">
      <w:pPr>
        <w:spacing w:line="360" w:lineRule="auto"/>
        <w:jc w:val="both"/>
        <w:rPr>
          <w:color w:val="000000"/>
        </w:rPr>
      </w:pPr>
      <w:r>
        <w:rPr>
          <w:color w:val="000000"/>
        </w:rPr>
        <w:t>Es cierto que, con la medida de dispensa o sin ella, de manera previa a la operación de concentración, Enel ya detentaba control conjunto sobre Endesa. Sin embargo, la medida propuesta en el transcurso del procedimiento de autorización no logró aislar los derechos políticos importantes que, finalmente, son los que están vinculados al control exclusivo. Enel, con la adopción de esta medida a través de Endesa, manifest</w:t>
      </w:r>
      <w:r w:rsidR="005805DD">
        <w:rPr>
          <w:color w:val="000000"/>
        </w:rPr>
        <w:t>ú</w:t>
      </w:r>
      <w:r>
        <w:rPr>
          <w:color w:val="000000"/>
        </w:rPr>
        <w:t xml:space="preserve"> su poder de decisión sobre los órganos de control al decidir que “no se debería hacer”</w:t>
      </w:r>
      <w:r w:rsidR="005805DD">
        <w:rPr>
          <w:color w:val="000000"/>
        </w:rPr>
        <w:t>, todo ello</w:t>
      </w:r>
      <w:r>
        <w:rPr>
          <w:color w:val="000000"/>
        </w:rPr>
        <w:t xml:space="preserve"> en resguardo de sus propios intereses.</w:t>
      </w:r>
    </w:p>
    <w:p w:rsidR="002355F1" w:rsidRPr="005805DD" w:rsidRDefault="005805DD" w:rsidP="00D936C4">
      <w:pPr>
        <w:pStyle w:val="Ttulo6"/>
        <w:numPr>
          <w:ilvl w:val="4"/>
          <w:numId w:val="3"/>
        </w:numPr>
        <w:spacing w:line="360" w:lineRule="auto"/>
        <w:rPr>
          <w:color w:val="000000"/>
          <w:sz w:val="24"/>
          <w:szCs w:val="24"/>
        </w:rPr>
      </w:pPr>
      <w:bookmarkStart w:id="45" w:name="_Toc47387752"/>
      <w:r>
        <w:rPr>
          <w:color w:val="000000"/>
          <w:sz w:val="24"/>
          <w:szCs w:val="24"/>
        </w:rPr>
        <w:t>¿Fue la medida de dispensa presentada en un momento oportuno?</w:t>
      </w:r>
      <w:bookmarkEnd w:id="45"/>
    </w:p>
    <w:p w:rsidR="002355F1" w:rsidRDefault="005A478B" w:rsidP="00D936C4">
      <w:pPr>
        <w:spacing w:line="360" w:lineRule="auto"/>
        <w:jc w:val="both"/>
        <w:rPr>
          <w:color w:val="000000"/>
        </w:rPr>
      </w:pPr>
      <w:r>
        <w:rPr>
          <w:color w:val="000000"/>
        </w:rPr>
        <w:t>¿Habría cambiado la situación si esta dispensa hubiese sido parte del contrato o trasladada con la Notificación? La posición de este informe concluye que la situación si hubiese variado considerando el momento de información del evento. La medida podría haber sido evaluada si en un momento adecuado, como la notificación, Enel hubiera trasladado dichas propuestas para que sean sometidas al análisis de la autoridad. Es preciso recordar que el administrado también puede colaborar con la Administración de modo que, aunque ambos tengan intereses distintos, puedan permitir la participación de los privados en las actividades sin que la actividad de control del Estado se vea perjudicada o evadida.</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El hecho de que el contrato haya estado sujeto a una condición resolutoria en caso no sea definida la fecha del cierre en determinado plazo o que se generen daños a los agentes al </w:t>
      </w:r>
      <w:r>
        <w:rPr>
          <w:color w:val="000000"/>
        </w:rPr>
        <w:lastRenderedPageBreak/>
        <w:t xml:space="preserve">retrasar su ingreso al mercado por estar sujetos a procedimientos de autorización largos y complejos y, en general, frente a la necesidad de hacer un mercado más competitivo y activo, no resulta extraño concluir la adopción de medidas de suspensión de los efectos, debidamente fundamentadas y presentadas oportunamente, puedan ser atendidas por la autoridad.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El caso Enel pone en evidencia que el actuar del administrado interesado en la operación puede ser calificado de poco diligente y que </w:t>
      </w:r>
      <w:r>
        <w:rPr>
          <w:color w:val="000000"/>
          <w:u w:val="single"/>
        </w:rPr>
        <w:t>su medida fue propuesta en un estadío tardío del procedimiento de autorización.</w:t>
      </w:r>
      <w:r>
        <w:rPr>
          <w:color w:val="000000"/>
        </w:rPr>
        <w:t xml:space="preserve"> La medida de dispensa que buscaba retrasar los efectos en el mercado peruano podía ser también apreciado como un salvavidas de último momento, el cual, no demostrada de forma suficiente que acciones concretas adoptarían para evitar que los efectos de la implementación parcial realizada en la Unión Europea afecte la dinámica de competencia en el Perú, ni permitió a la Comisión un análisis del mismo en un momento anterior como la notificación.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Todos los actos que se realicen en torno a una concentración están vinculados a ellas; sin embargo, y a modo de conclusión, para que este pueda ser el supuesto de hecho de una infracción a la obligación de suspensión, el análisis debe presentar cómo el presunto acto de concentración</w:t>
      </w:r>
      <w:r>
        <w:t xml:space="preserve"> </w:t>
      </w:r>
      <w:r>
        <w:rPr>
          <w:color w:val="000000"/>
        </w:rPr>
        <w:t>al  ser implementado tuvo una vinculación directa con el ejercicio de control, es decir, de qué manera es observable el control tras la implementación. Asimismo, sobre las medidas de dispensa propuestas, el análisis actual no debe considerarlas como prohibidas, sino que, atendiendo a la lógica de los mercados actual, se deben acoger dichas medidas de dispensa solo si son suficientes y oportunas durante el trámite del procedimiento de autorización.</w:t>
      </w:r>
    </w:p>
    <w:p w:rsidR="002355F1" w:rsidRDefault="005A478B" w:rsidP="00123ED2">
      <w:pPr>
        <w:pStyle w:val="Ttulo2"/>
        <w:numPr>
          <w:ilvl w:val="1"/>
          <w:numId w:val="3"/>
        </w:numPr>
        <w:spacing w:line="360" w:lineRule="auto"/>
        <w:rPr>
          <w:color w:val="000000"/>
          <w:sz w:val="24"/>
          <w:szCs w:val="24"/>
        </w:rPr>
      </w:pPr>
      <w:bookmarkStart w:id="46" w:name="_Toc47387753"/>
      <w:r>
        <w:rPr>
          <w:sz w:val="24"/>
          <w:szCs w:val="24"/>
        </w:rPr>
        <w:t>Los criterios de graduación de la sanción</w:t>
      </w:r>
      <w:bookmarkEnd w:id="46"/>
    </w:p>
    <w:p w:rsidR="002355F1" w:rsidRDefault="002355F1" w:rsidP="00D936C4">
      <w:pPr>
        <w:spacing w:line="360" w:lineRule="auto"/>
        <w:ind w:left="1080"/>
      </w:pPr>
    </w:p>
    <w:p w:rsidR="002355F1" w:rsidRDefault="005A478B" w:rsidP="00D936C4">
      <w:pPr>
        <w:spacing w:line="360" w:lineRule="auto"/>
        <w:jc w:val="both"/>
        <w:rPr>
          <w:color w:val="000000"/>
        </w:rPr>
      </w:pPr>
      <w:r>
        <w:rPr>
          <w:color w:val="000000"/>
        </w:rPr>
        <w:t xml:space="preserve">El tercer </w:t>
      </w:r>
      <w:r>
        <w:t>punto</w:t>
      </w:r>
      <w:r>
        <w:rPr>
          <w:color w:val="000000"/>
        </w:rPr>
        <w:t xml:space="preserve"> del informe comprende la sanción, siendo que la conducta de Enel, agente involucrado en la operación de concentración, ya calza en el supuesto de hecho parte de la infracción dispuesta en el artículo 6 de la Ley 26876. Ahora bien, esta sección comprenderá la segunda parte de la infracción como es la consecuencia jurídica o sanción.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lastRenderedPageBreak/>
        <w:t xml:space="preserve">La consecuencia jurídica establecida ante la verificación de una conducta que se encuentra previamente tipificada como infracción es la sanción. Este mecanismo permite que la potestad sancionadora otorgada a la Administración Pública se materialice a través de amonestaciones, llamado de atención, imposición de multas pecuniarias, incautación de bienes, limitación de ejercicio de alguna actividad, entre otros (Gómez 2010: 136).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La imposición de una multa pecuniaria, como es el caso del artículo 6 de la Ley 26876, es una decisión de la Administración que termina afectando el ámbito patrimonial de las personas naturales o jurídicas cuyos comportamientos han sido verificados como infracciones incluidas en el ordenamiento jurídico, al obligarlos a realizar un pago a favor de la Administración. Esta deberá ser establecida considerando, entre varios principios, el de razonabilidad dispuesto en el artículo 230, numeral 3 de la Ley 27444 vigente al año 2009. Así, el Tribunal Constitucional en el Expediente 1199-2003-AA/TC del 2 de agosto de 2004 precisa lo siguiente respecto a la sujeción de la sanción administrativa a la aplicación de principios:</w:t>
      </w:r>
    </w:p>
    <w:p w:rsidR="002355F1" w:rsidRDefault="002355F1" w:rsidP="00D936C4">
      <w:pPr>
        <w:spacing w:line="360" w:lineRule="auto"/>
        <w:jc w:val="both"/>
        <w:rPr>
          <w:color w:val="000000"/>
        </w:rPr>
      </w:pPr>
    </w:p>
    <w:p w:rsidR="002355F1" w:rsidRPr="00CC37BB" w:rsidRDefault="005A478B" w:rsidP="00D936C4">
      <w:pPr>
        <w:pBdr>
          <w:top w:val="nil"/>
          <w:left w:val="nil"/>
          <w:bottom w:val="nil"/>
          <w:right w:val="nil"/>
          <w:between w:val="nil"/>
        </w:pBdr>
        <w:spacing w:line="360" w:lineRule="auto"/>
        <w:ind w:left="720"/>
        <w:jc w:val="both"/>
        <w:rPr>
          <w:color w:val="000000"/>
          <w:sz w:val="20"/>
          <w:szCs w:val="20"/>
        </w:rPr>
      </w:pPr>
      <w:r w:rsidRPr="00CC37BB">
        <w:rPr>
          <w:color w:val="000000"/>
          <w:sz w:val="20"/>
          <w:szCs w:val="20"/>
        </w:rPr>
        <w:t>3.- La aplicación de una sanción administrativa constituye la manifestación del ejercicio de la potestad sancionatoria de la Administración. Como toda potestad, está condicionada, en cuanto a su propia validez, a que se respete la Constitución, los principios constitucionales y, en particular, los derechos fundamentales. Al respecto, debe resaltarse que la Administración, en la prosecución de procedimientos administrativos disciplinarios, está obligada ineludiblemente al irrestricto respeto del derecho al debido proceso y, en consecuencia, a los derechos fundamentales procesales y los principios constitucionales, como los de legalidad, razonabilidad, proporcionalidad y defensa, entre otros, que lo conforman» (Tribunal Constitucional 2004: fundamento 3).</w:t>
      </w:r>
    </w:p>
    <w:p w:rsidR="002355F1" w:rsidRDefault="002355F1" w:rsidP="00D936C4">
      <w:pPr>
        <w:pBdr>
          <w:top w:val="nil"/>
          <w:left w:val="nil"/>
          <w:bottom w:val="nil"/>
          <w:right w:val="nil"/>
          <w:between w:val="nil"/>
        </w:pBdr>
        <w:spacing w:line="360" w:lineRule="auto"/>
        <w:ind w:left="720"/>
        <w:jc w:val="both"/>
        <w:rPr>
          <w:color w:val="000000"/>
          <w:sz w:val="22"/>
          <w:szCs w:val="22"/>
        </w:rPr>
      </w:pPr>
    </w:p>
    <w:p w:rsidR="002355F1" w:rsidRDefault="005A478B" w:rsidP="00D936C4">
      <w:pPr>
        <w:spacing w:line="360" w:lineRule="auto"/>
        <w:jc w:val="both"/>
        <w:rPr>
          <w:color w:val="000000"/>
        </w:rPr>
      </w:pPr>
      <w:r>
        <w:rPr>
          <w:color w:val="000000"/>
        </w:rPr>
        <w:t>El artículo 230.3 de la Ley 27444</w:t>
      </w:r>
      <w:r w:rsidR="00F944D9">
        <w:rPr>
          <w:color w:val="000000"/>
        </w:rPr>
        <w:t>,</w:t>
      </w:r>
      <w:r>
        <w:rPr>
          <w:color w:val="000000"/>
        </w:rPr>
        <w:t xml:space="preserve"> que recoge el principio de razonabilidad</w:t>
      </w:r>
      <w:r w:rsidR="00F944D9">
        <w:rPr>
          <w:color w:val="000000"/>
        </w:rPr>
        <w:t>,</w:t>
      </w:r>
      <w:r>
        <w:rPr>
          <w:color w:val="000000"/>
        </w:rPr>
        <w:t xml:space="preserve"> se configura entonces como una de las pautas rectoras del procedimiento administrativo sancionador y fundamenta que el órgano a cargo de la sanción, al momento de realizar la tipificación de determinadas conductas y asignarle consecuencias jurídicas como una sanción, debe prever que</w:t>
      </w:r>
      <w:r w:rsidR="00F944D9">
        <w:rPr>
          <w:color w:val="000000"/>
        </w:rPr>
        <w:t xml:space="preserve"> </w:t>
      </w:r>
      <w:r>
        <w:rPr>
          <w:color w:val="000000"/>
        </w:rPr>
        <w:t xml:space="preserve">la comisión del hecho calificado como infractor no resulte siendo más ventajosa para el agente infractor  que cumplir las normas infringidas o asumir la sanción. </w:t>
      </w:r>
      <w:r w:rsidR="00F944D9">
        <w:rPr>
          <w:color w:val="000000"/>
        </w:rPr>
        <w:t>Tal y como es desarrollado por</w:t>
      </w:r>
      <w:r>
        <w:rPr>
          <w:color w:val="000000"/>
        </w:rPr>
        <w:t xml:space="preserve"> la doctrina, la respuesta del ordenamiento debe ser de una magnitud mayor a las ventajas que el agente económico pueda obtener de la infracción, caso contrario el </w:t>
      </w:r>
      <w:r>
        <w:rPr>
          <w:color w:val="000000"/>
        </w:rPr>
        <w:lastRenderedPageBreak/>
        <w:t>sistema podría terminar incentivando, dada la rentabilidad, la realización de conductas antijurídicas (Becker 2002: 390).</w:t>
      </w:r>
    </w:p>
    <w:p w:rsidR="002355F1" w:rsidRDefault="002355F1" w:rsidP="00D936C4">
      <w:pPr>
        <w:spacing w:line="360" w:lineRule="auto"/>
        <w:jc w:val="both"/>
        <w:rPr>
          <w:color w:val="000000"/>
        </w:rPr>
      </w:pPr>
    </w:p>
    <w:p w:rsidR="00F944D9" w:rsidRDefault="00F944D9" w:rsidP="00D936C4">
      <w:pPr>
        <w:shd w:val="clear" w:color="auto" w:fill="FFFFFF"/>
        <w:spacing w:line="360" w:lineRule="auto"/>
        <w:ind w:left="720"/>
        <w:jc w:val="both"/>
        <w:rPr>
          <w:b/>
          <w:color w:val="000000"/>
          <w:sz w:val="20"/>
          <w:szCs w:val="20"/>
        </w:rPr>
      </w:pPr>
      <w:r>
        <w:rPr>
          <w:b/>
          <w:color w:val="000000"/>
          <w:sz w:val="20"/>
          <w:szCs w:val="20"/>
        </w:rPr>
        <w:t>Ley 27444</w:t>
      </w:r>
    </w:p>
    <w:p w:rsidR="00F944D9" w:rsidRDefault="005A478B" w:rsidP="00D936C4">
      <w:pPr>
        <w:shd w:val="clear" w:color="auto" w:fill="FFFFFF"/>
        <w:spacing w:line="360" w:lineRule="auto"/>
        <w:ind w:left="720"/>
        <w:jc w:val="both"/>
        <w:rPr>
          <w:b/>
          <w:color w:val="000000"/>
          <w:sz w:val="20"/>
          <w:szCs w:val="20"/>
        </w:rPr>
      </w:pPr>
      <w:r w:rsidRPr="00CC37BB">
        <w:rPr>
          <w:b/>
          <w:color w:val="000000"/>
          <w:sz w:val="20"/>
          <w:szCs w:val="20"/>
        </w:rPr>
        <w:t>Artículo 230.- Principios de la potestad sancionadora administrativa</w:t>
      </w:r>
    </w:p>
    <w:p w:rsidR="00F944D9" w:rsidRDefault="005A478B" w:rsidP="00D936C4">
      <w:pPr>
        <w:shd w:val="clear" w:color="auto" w:fill="FFFFFF"/>
        <w:spacing w:line="360" w:lineRule="auto"/>
        <w:ind w:left="720"/>
        <w:jc w:val="both"/>
        <w:rPr>
          <w:color w:val="000000"/>
          <w:sz w:val="20"/>
          <w:szCs w:val="20"/>
        </w:rPr>
      </w:pPr>
      <w:r w:rsidRPr="00CC37BB">
        <w:rPr>
          <w:color w:val="000000"/>
          <w:sz w:val="20"/>
          <w:szCs w:val="20"/>
        </w:rPr>
        <w:t>La potestad sancionadora de todas las entidades está regida adicionalmente por los siguientes principios especiales:</w:t>
      </w:r>
      <w:r w:rsidR="0066148C">
        <w:rPr>
          <w:color w:val="000000"/>
          <w:sz w:val="20"/>
          <w:szCs w:val="20"/>
        </w:rPr>
        <w:t xml:space="preserve"> </w:t>
      </w:r>
    </w:p>
    <w:p w:rsidR="00F944D9" w:rsidRDefault="0066148C" w:rsidP="00D936C4">
      <w:pPr>
        <w:shd w:val="clear" w:color="auto" w:fill="FFFFFF"/>
        <w:spacing w:line="360" w:lineRule="auto"/>
        <w:ind w:left="720"/>
        <w:jc w:val="both"/>
        <w:rPr>
          <w:color w:val="000000"/>
          <w:sz w:val="20"/>
          <w:szCs w:val="20"/>
        </w:rPr>
      </w:pPr>
      <w:r>
        <w:rPr>
          <w:color w:val="000000"/>
          <w:sz w:val="20"/>
          <w:szCs w:val="20"/>
        </w:rPr>
        <w:t xml:space="preserve">(…) </w:t>
      </w:r>
    </w:p>
    <w:p w:rsidR="002355F1" w:rsidRPr="00CC37BB" w:rsidRDefault="005A478B" w:rsidP="00D936C4">
      <w:pPr>
        <w:shd w:val="clear" w:color="auto" w:fill="FFFFFF"/>
        <w:spacing w:line="360" w:lineRule="auto"/>
        <w:ind w:left="720"/>
        <w:jc w:val="both"/>
        <w:rPr>
          <w:color w:val="000000"/>
          <w:sz w:val="20"/>
          <w:szCs w:val="20"/>
        </w:rPr>
      </w:pPr>
      <w:r w:rsidRPr="00CC37BB">
        <w:rPr>
          <w:b/>
          <w:color w:val="000000"/>
          <w:sz w:val="20"/>
          <w:szCs w:val="20"/>
        </w:rPr>
        <w:t xml:space="preserve">3. Razonabilidad.- </w:t>
      </w:r>
      <w:r w:rsidRPr="00CC37BB">
        <w:rPr>
          <w:color w:val="000000"/>
          <w:sz w:val="20"/>
          <w:szCs w:val="20"/>
        </w:rPr>
        <w:t>Las autoridades deben prever que la comisión de la conducta sancionable no resulte más ventajosa para el infractor que cumplir las normas infringidas o asumir la sanción. (...)</w:t>
      </w:r>
    </w:p>
    <w:p w:rsidR="002355F1" w:rsidRDefault="002355F1" w:rsidP="00D936C4">
      <w:pPr>
        <w:shd w:val="clear" w:color="auto" w:fill="FFFFFF"/>
        <w:spacing w:line="360" w:lineRule="auto"/>
        <w:ind w:left="720"/>
        <w:jc w:val="both"/>
        <w:rPr>
          <w:color w:val="000000"/>
          <w:sz w:val="22"/>
          <w:szCs w:val="22"/>
        </w:rPr>
      </w:pPr>
    </w:p>
    <w:p w:rsidR="002355F1" w:rsidRDefault="005A478B" w:rsidP="00D936C4">
      <w:pPr>
        <w:spacing w:line="360" w:lineRule="auto"/>
        <w:jc w:val="both"/>
        <w:rPr>
          <w:color w:val="000000"/>
        </w:rPr>
      </w:pPr>
      <w:r>
        <w:rPr>
          <w:color w:val="000000"/>
        </w:rPr>
        <w:t xml:space="preserve">Sin embargo, a fin evitar que la toma de decisiones administrativas quede sometida a la libre voluntad de las autoridades y que en el afán de imponer una sanción “desincentivadora” vinculada a la infracción, esta se convierta en un acto arbitrario de la autoridad materializado en un exceso de punición, el artículo 230.3 de la Ley 27444 ha acompañado, al análisis de razonabilidad y buscar el desincentivo de la conducta, criterios de graduación que la autoridad debe aplicar, en el orden expuesto, al momento de establecer la sanción aplicable. </w:t>
      </w:r>
      <w:r>
        <w:t>R</w:t>
      </w:r>
      <w:r>
        <w:rPr>
          <w:color w:val="000000"/>
        </w:rPr>
        <w:t>esulta necesario que, en ejercicio legítimo de su potestad sancionadora, la Administración Pública incorpore elementos que permitan la motivación de sus decisiones como son el desarrollo de los criterios de graduación. Al respecto, la Ley 27444 al año 2009:</w:t>
      </w:r>
    </w:p>
    <w:p w:rsidR="002355F1" w:rsidRPr="00CC37BB" w:rsidRDefault="002355F1" w:rsidP="00D936C4">
      <w:pPr>
        <w:spacing w:line="360" w:lineRule="auto"/>
        <w:jc w:val="both"/>
        <w:rPr>
          <w:sz w:val="20"/>
          <w:szCs w:val="20"/>
        </w:rPr>
      </w:pPr>
    </w:p>
    <w:p w:rsidR="00F944D9" w:rsidRDefault="00F944D9" w:rsidP="00F944D9">
      <w:pPr>
        <w:shd w:val="clear" w:color="auto" w:fill="FFFFFF"/>
        <w:spacing w:line="360" w:lineRule="auto"/>
        <w:ind w:left="720"/>
        <w:jc w:val="both"/>
        <w:rPr>
          <w:b/>
          <w:color w:val="000000"/>
          <w:sz w:val="20"/>
          <w:szCs w:val="20"/>
        </w:rPr>
      </w:pPr>
      <w:r>
        <w:rPr>
          <w:b/>
          <w:color w:val="000000"/>
          <w:sz w:val="20"/>
          <w:szCs w:val="20"/>
        </w:rPr>
        <w:t>Ley 27444</w:t>
      </w:r>
    </w:p>
    <w:p w:rsidR="00F944D9" w:rsidRDefault="005A478B" w:rsidP="00D936C4">
      <w:pPr>
        <w:shd w:val="clear" w:color="auto" w:fill="FFFFFF"/>
        <w:spacing w:line="360" w:lineRule="auto"/>
        <w:ind w:left="720"/>
        <w:jc w:val="both"/>
        <w:rPr>
          <w:b/>
          <w:color w:val="000000"/>
          <w:sz w:val="20"/>
          <w:szCs w:val="20"/>
        </w:rPr>
      </w:pPr>
      <w:r w:rsidRPr="00CC37BB">
        <w:rPr>
          <w:b/>
          <w:color w:val="000000"/>
          <w:sz w:val="20"/>
          <w:szCs w:val="20"/>
        </w:rPr>
        <w:t>Artículo 230.- Principios de la potestad sancionadora administrativa</w:t>
      </w:r>
    </w:p>
    <w:p w:rsidR="00F944D9" w:rsidRDefault="005A478B" w:rsidP="00D936C4">
      <w:pPr>
        <w:shd w:val="clear" w:color="auto" w:fill="FFFFFF"/>
        <w:spacing w:line="360" w:lineRule="auto"/>
        <w:ind w:left="720"/>
        <w:jc w:val="both"/>
        <w:rPr>
          <w:color w:val="000000"/>
          <w:sz w:val="20"/>
          <w:szCs w:val="20"/>
        </w:rPr>
      </w:pPr>
      <w:r w:rsidRPr="00CC37BB">
        <w:rPr>
          <w:color w:val="000000"/>
          <w:sz w:val="20"/>
          <w:szCs w:val="20"/>
        </w:rPr>
        <w:t>La potestad sancionadora de todas las entidades está regida adicionalmente por los siguientes principios especiales</w:t>
      </w:r>
      <w:r w:rsidR="0066148C">
        <w:rPr>
          <w:color w:val="000000"/>
          <w:sz w:val="20"/>
          <w:szCs w:val="20"/>
        </w:rPr>
        <w:t xml:space="preserve">: </w:t>
      </w:r>
    </w:p>
    <w:p w:rsidR="00F944D9" w:rsidRDefault="0066148C" w:rsidP="00D936C4">
      <w:pPr>
        <w:shd w:val="clear" w:color="auto" w:fill="FFFFFF"/>
        <w:spacing w:line="360" w:lineRule="auto"/>
        <w:ind w:left="720"/>
        <w:jc w:val="both"/>
        <w:rPr>
          <w:color w:val="000000"/>
          <w:sz w:val="20"/>
          <w:szCs w:val="20"/>
        </w:rPr>
      </w:pPr>
      <w:r>
        <w:rPr>
          <w:color w:val="000000"/>
          <w:sz w:val="20"/>
          <w:szCs w:val="20"/>
        </w:rPr>
        <w:t xml:space="preserve">(…) </w:t>
      </w:r>
    </w:p>
    <w:p w:rsidR="00F944D9" w:rsidRDefault="005A478B" w:rsidP="00F944D9">
      <w:pPr>
        <w:shd w:val="clear" w:color="auto" w:fill="FFFFFF"/>
        <w:spacing w:line="360" w:lineRule="auto"/>
        <w:ind w:left="720"/>
        <w:jc w:val="both"/>
        <w:rPr>
          <w:b/>
          <w:color w:val="000000"/>
          <w:sz w:val="20"/>
          <w:szCs w:val="20"/>
        </w:rPr>
      </w:pPr>
      <w:r w:rsidRPr="00CC37BB">
        <w:rPr>
          <w:b/>
          <w:color w:val="000000"/>
          <w:sz w:val="20"/>
          <w:szCs w:val="20"/>
        </w:rPr>
        <w:t xml:space="preserve">3. Razonabilidad.- </w:t>
      </w:r>
    </w:p>
    <w:p w:rsidR="00F944D9" w:rsidRDefault="005A478B" w:rsidP="00F944D9">
      <w:pPr>
        <w:shd w:val="clear" w:color="auto" w:fill="FFFFFF"/>
        <w:spacing w:line="360" w:lineRule="auto"/>
        <w:ind w:left="720"/>
        <w:jc w:val="both"/>
        <w:rPr>
          <w:color w:val="000000"/>
          <w:sz w:val="20"/>
          <w:szCs w:val="20"/>
        </w:rPr>
      </w:pPr>
      <w:r w:rsidRPr="00CC37BB">
        <w:rPr>
          <w:color w:val="000000"/>
          <w:sz w:val="20"/>
          <w:szCs w:val="20"/>
        </w:rPr>
        <w:t xml:space="preserve">(...) </w:t>
      </w:r>
    </w:p>
    <w:p w:rsidR="002355F1" w:rsidRDefault="005A478B" w:rsidP="00F944D9">
      <w:pPr>
        <w:shd w:val="clear" w:color="auto" w:fill="FFFFFF"/>
        <w:spacing w:line="360" w:lineRule="auto"/>
        <w:ind w:left="720"/>
        <w:jc w:val="both"/>
        <w:rPr>
          <w:color w:val="000000"/>
          <w:sz w:val="20"/>
          <w:szCs w:val="20"/>
        </w:rPr>
      </w:pPr>
      <w:r w:rsidRPr="00CC37BB">
        <w:rPr>
          <w:color w:val="000000"/>
          <w:sz w:val="20"/>
          <w:szCs w:val="20"/>
        </w:rPr>
        <w:t>Sin embargo, las sanciones a ser aplicadas deberán ser proporcionales al incumplimiento calificado como infracción, debiendo observar los siguientes criterios que en orden de prelación se señalan a efectos de su graduación:</w:t>
      </w:r>
    </w:p>
    <w:p w:rsidR="00F944D9" w:rsidRPr="00CC37BB" w:rsidRDefault="00F944D9" w:rsidP="00F944D9">
      <w:pPr>
        <w:shd w:val="clear" w:color="auto" w:fill="FFFFFF"/>
        <w:spacing w:line="360" w:lineRule="auto"/>
        <w:ind w:left="720"/>
        <w:jc w:val="both"/>
        <w:rPr>
          <w:color w:val="000000"/>
          <w:sz w:val="20"/>
          <w:szCs w:val="20"/>
        </w:rPr>
      </w:pPr>
    </w:p>
    <w:p w:rsidR="002355F1" w:rsidRPr="00CC37BB" w:rsidRDefault="005A478B" w:rsidP="00D936C4">
      <w:pPr>
        <w:shd w:val="clear" w:color="auto" w:fill="FFFFFF"/>
        <w:spacing w:line="360" w:lineRule="auto"/>
        <w:ind w:left="720"/>
        <w:jc w:val="both"/>
        <w:rPr>
          <w:color w:val="000000"/>
          <w:sz w:val="20"/>
          <w:szCs w:val="20"/>
        </w:rPr>
      </w:pPr>
      <w:r w:rsidRPr="00CC37BB">
        <w:rPr>
          <w:color w:val="000000"/>
          <w:sz w:val="20"/>
          <w:szCs w:val="20"/>
        </w:rPr>
        <w:t xml:space="preserve">     a) La gravedad del daño al interés público y/o bien jurídico protegido;</w:t>
      </w:r>
    </w:p>
    <w:p w:rsidR="002355F1" w:rsidRPr="00CC37BB" w:rsidRDefault="005A478B" w:rsidP="00D936C4">
      <w:pPr>
        <w:shd w:val="clear" w:color="auto" w:fill="FFFFFF"/>
        <w:spacing w:line="360" w:lineRule="auto"/>
        <w:ind w:left="720"/>
        <w:jc w:val="both"/>
        <w:rPr>
          <w:color w:val="000000"/>
          <w:sz w:val="20"/>
          <w:szCs w:val="20"/>
        </w:rPr>
      </w:pPr>
      <w:r w:rsidRPr="00CC37BB">
        <w:rPr>
          <w:color w:val="000000"/>
          <w:sz w:val="20"/>
          <w:szCs w:val="20"/>
        </w:rPr>
        <w:t xml:space="preserve">     b) EI perjuicio económico causado;</w:t>
      </w:r>
    </w:p>
    <w:p w:rsidR="002355F1" w:rsidRPr="00CC37BB" w:rsidRDefault="005A478B" w:rsidP="00D936C4">
      <w:pPr>
        <w:shd w:val="clear" w:color="auto" w:fill="FFFFFF"/>
        <w:spacing w:line="360" w:lineRule="auto"/>
        <w:ind w:left="720"/>
        <w:jc w:val="both"/>
        <w:rPr>
          <w:color w:val="000000"/>
          <w:sz w:val="20"/>
          <w:szCs w:val="20"/>
        </w:rPr>
      </w:pPr>
      <w:r w:rsidRPr="00CC37BB">
        <w:rPr>
          <w:color w:val="000000"/>
          <w:sz w:val="20"/>
          <w:szCs w:val="20"/>
        </w:rPr>
        <w:t xml:space="preserve">     c) La repetición y/o continuidad en la comisión de la infracción;</w:t>
      </w:r>
    </w:p>
    <w:p w:rsidR="002355F1" w:rsidRPr="00CC37BB" w:rsidRDefault="005A478B" w:rsidP="00D936C4">
      <w:pPr>
        <w:shd w:val="clear" w:color="auto" w:fill="FFFFFF"/>
        <w:spacing w:line="360" w:lineRule="auto"/>
        <w:ind w:left="720"/>
        <w:jc w:val="both"/>
        <w:rPr>
          <w:color w:val="000000"/>
          <w:sz w:val="20"/>
          <w:szCs w:val="20"/>
        </w:rPr>
      </w:pPr>
      <w:r w:rsidRPr="00CC37BB">
        <w:rPr>
          <w:color w:val="000000"/>
          <w:sz w:val="20"/>
          <w:szCs w:val="20"/>
        </w:rPr>
        <w:lastRenderedPageBreak/>
        <w:t xml:space="preserve">     d) Las circunstancias de la comisión de la infracción;</w:t>
      </w:r>
    </w:p>
    <w:p w:rsidR="002355F1" w:rsidRPr="00CC37BB" w:rsidRDefault="005A478B" w:rsidP="00D936C4">
      <w:pPr>
        <w:shd w:val="clear" w:color="auto" w:fill="FFFFFF"/>
        <w:spacing w:line="360" w:lineRule="auto"/>
        <w:ind w:left="720"/>
        <w:jc w:val="both"/>
        <w:rPr>
          <w:color w:val="000000"/>
          <w:sz w:val="20"/>
          <w:szCs w:val="20"/>
        </w:rPr>
      </w:pPr>
      <w:r w:rsidRPr="00CC37BB">
        <w:rPr>
          <w:color w:val="000000"/>
          <w:sz w:val="20"/>
          <w:szCs w:val="20"/>
        </w:rPr>
        <w:t xml:space="preserve">     e) EI beneficio ilegalmente obtenido; y</w:t>
      </w:r>
    </w:p>
    <w:p w:rsidR="002355F1" w:rsidRPr="00CC37BB" w:rsidRDefault="005A478B" w:rsidP="00D936C4">
      <w:pPr>
        <w:shd w:val="clear" w:color="auto" w:fill="FFFFFF"/>
        <w:spacing w:line="360" w:lineRule="auto"/>
        <w:ind w:left="720"/>
        <w:jc w:val="both"/>
        <w:rPr>
          <w:b/>
          <w:color w:val="000000"/>
          <w:sz w:val="20"/>
          <w:szCs w:val="20"/>
        </w:rPr>
      </w:pPr>
      <w:r w:rsidRPr="00CC37BB">
        <w:rPr>
          <w:color w:val="000000"/>
          <w:sz w:val="20"/>
          <w:szCs w:val="20"/>
        </w:rPr>
        <w:t xml:space="preserve">     f) La existencia o no de intencionalidad en la conducta del infractor.</w:t>
      </w:r>
    </w:p>
    <w:p w:rsidR="002355F1" w:rsidRDefault="002355F1" w:rsidP="00D936C4">
      <w:pPr>
        <w:shd w:val="clear" w:color="auto" w:fill="FFFFFF"/>
        <w:spacing w:line="360" w:lineRule="auto"/>
        <w:ind w:left="720"/>
        <w:jc w:val="both"/>
        <w:rPr>
          <w:b/>
          <w:color w:val="000000"/>
        </w:rPr>
      </w:pPr>
    </w:p>
    <w:p w:rsidR="002355F1" w:rsidRDefault="005A478B" w:rsidP="00D936C4">
      <w:pPr>
        <w:spacing w:line="360" w:lineRule="auto"/>
        <w:jc w:val="both"/>
        <w:rPr>
          <w:color w:val="000000"/>
        </w:rPr>
      </w:pPr>
      <w:r>
        <w:rPr>
          <w:color w:val="000000"/>
        </w:rPr>
        <w:t>El empleo de estos criterios de graduación no solo permite la valoración de atenuantes, sino que reduce el margen de la arbitrariedad de la  Administración y asegura que las multas adoptadas sean lo suficientemente desincentivadoras sin que se tornen en un ejercicio desmedido y ausente de criterios de la entidad con potestad sancionadora.</w:t>
      </w:r>
    </w:p>
    <w:p w:rsidR="002355F1" w:rsidRDefault="002355F1" w:rsidP="00D936C4">
      <w:pPr>
        <w:spacing w:line="360" w:lineRule="auto"/>
        <w:jc w:val="both"/>
        <w:rPr>
          <w:color w:val="000000"/>
        </w:rPr>
      </w:pPr>
    </w:p>
    <w:p w:rsidR="002355F1" w:rsidRDefault="005A478B" w:rsidP="00D936C4">
      <w:pPr>
        <w:spacing w:line="360" w:lineRule="auto"/>
        <w:jc w:val="both"/>
      </w:pPr>
      <w:r>
        <w:rPr>
          <w:color w:val="000000"/>
        </w:rPr>
        <w:t>La arbitrariedad, como exponen García de Enterría y Tomás Ramón Fernández, se encuentra unido a lo carente de razón</w:t>
      </w:r>
      <w:r>
        <w:t>:</w:t>
      </w:r>
    </w:p>
    <w:p w:rsidR="002355F1" w:rsidRDefault="002355F1" w:rsidP="00D936C4">
      <w:pPr>
        <w:spacing w:line="360" w:lineRule="auto"/>
        <w:jc w:val="both"/>
      </w:pPr>
    </w:p>
    <w:p w:rsidR="002355F1" w:rsidRPr="00CC37BB" w:rsidRDefault="005A478B" w:rsidP="00D936C4">
      <w:pPr>
        <w:spacing w:line="360" w:lineRule="auto"/>
        <w:ind w:left="720"/>
        <w:jc w:val="both"/>
        <w:rPr>
          <w:color w:val="000000"/>
          <w:sz w:val="20"/>
          <w:szCs w:val="20"/>
        </w:rPr>
      </w:pPr>
      <w:r w:rsidRPr="00CC37BB">
        <w:rPr>
          <w:color w:val="000000"/>
          <w:sz w:val="20"/>
          <w:szCs w:val="20"/>
        </w:rPr>
        <w:t xml:space="preserve">(...) De lo que se sigue necesariamente la exigencia imperativa e inexcusable del fundamento adicional de la razón para toda decisión en la que el poder se exprese. </w:t>
      </w:r>
      <w:r w:rsidRPr="00CC37BB">
        <w:rPr>
          <w:color w:val="000000"/>
          <w:sz w:val="20"/>
          <w:szCs w:val="20"/>
          <w:u w:val="single"/>
        </w:rPr>
        <w:t xml:space="preserve">El único poder que la Constitución acepta como legítimo </w:t>
      </w:r>
      <w:r w:rsidRPr="00CC37BB">
        <w:rPr>
          <w:color w:val="000000"/>
          <w:sz w:val="20"/>
          <w:szCs w:val="20"/>
        </w:rPr>
        <w:t xml:space="preserve">en su concreto ejercicio ha de ser, pues, el que se presente </w:t>
      </w:r>
      <w:r w:rsidRPr="00CC37BB">
        <w:rPr>
          <w:color w:val="000000"/>
          <w:sz w:val="20"/>
          <w:szCs w:val="20"/>
          <w:u w:val="single"/>
        </w:rPr>
        <w:t xml:space="preserve">como resultado de una voluntad racional, </w:t>
      </w:r>
      <w:r w:rsidRPr="00CC37BB">
        <w:rPr>
          <w:color w:val="000000"/>
          <w:sz w:val="20"/>
          <w:szCs w:val="20"/>
        </w:rPr>
        <w:t xml:space="preserve">el que se demuestre en cada caso que cuenta con razones justificativas. </w:t>
      </w:r>
      <w:r w:rsidRPr="00CC37BB">
        <w:rPr>
          <w:color w:val="000000"/>
          <w:sz w:val="20"/>
          <w:szCs w:val="20"/>
          <w:u w:val="single"/>
        </w:rPr>
        <w:t>El simple porque sí queda, de este modo, formal y solemnemente erradicado de nuestro sistema jurídico político</w:t>
      </w:r>
      <w:r w:rsidRPr="00CC37BB">
        <w:rPr>
          <w:color w:val="000000"/>
          <w:sz w:val="20"/>
          <w:szCs w:val="20"/>
        </w:rPr>
        <w:t xml:space="preserve"> (García de Enterría y Fernández 2005: 486).</w:t>
      </w:r>
    </w:p>
    <w:p w:rsidR="00CC37BB" w:rsidRDefault="00CC37BB"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De igual manera, los autores incorpora en su análisis el alcance de la Sentencia del Tribunal Supremo de España del 13 de julio de 1984 y resalta del pronunciamiento la siguiente cita sobre la discrecionalidad y arbitrariedad: </w:t>
      </w:r>
    </w:p>
    <w:p w:rsidR="002355F1" w:rsidRDefault="002355F1" w:rsidP="00D936C4">
      <w:pPr>
        <w:spacing w:line="360" w:lineRule="auto"/>
        <w:jc w:val="both"/>
      </w:pPr>
    </w:p>
    <w:p w:rsidR="002355F1" w:rsidRPr="00CC37BB" w:rsidRDefault="005A478B" w:rsidP="00D936C4">
      <w:pPr>
        <w:spacing w:line="360" w:lineRule="auto"/>
        <w:ind w:left="720"/>
        <w:jc w:val="both"/>
        <w:rPr>
          <w:color w:val="000000"/>
          <w:sz w:val="21"/>
          <w:szCs w:val="21"/>
        </w:rPr>
      </w:pPr>
      <w:r w:rsidRPr="00CC37BB">
        <w:rPr>
          <w:color w:val="000000"/>
          <w:sz w:val="21"/>
          <w:szCs w:val="21"/>
        </w:rPr>
        <w:t xml:space="preserve">Nunca es permitido confundir lo discrecional con lo arbitrario, pues aquello se halla o debe hallarse de motivaciones suficientes, discutibles o no, pero considerables en todo caso, y no meramente de una calidad que las haga inatacables, mientras lo segundo o no tiene motivación respetable, sino -pura y simplemente- la conocida </w:t>
      </w:r>
      <w:r w:rsidRPr="00CC37BB">
        <w:rPr>
          <w:i/>
          <w:color w:val="000000"/>
          <w:sz w:val="21"/>
          <w:szCs w:val="21"/>
        </w:rPr>
        <w:t xml:space="preserve">sit pro ratione voluntas </w:t>
      </w:r>
      <w:r w:rsidRPr="00CC37BB">
        <w:rPr>
          <w:color w:val="000000"/>
          <w:sz w:val="21"/>
          <w:szCs w:val="21"/>
        </w:rPr>
        <w:t>o la que ofrece es tal que, escudriñando su entraña, denota a poco esfuerzo de contrastación, su carácter de realmente indefinible y su inautenticidad (Tribunal Supremo de España 1984).</w:t>
      </w:r>
    </w:p>
    <w:p w:rsidR="002355F1" w:rsidRDefault="002355F1" w:rsidP="00D936C4">
      <w:pPr>
        <w:spacing w:line="360" w:lineRule="auto"/>
        <w:ind w:left="720"/>
        <w:jc w:val="both"/>
        <w:rPr>
          <w:b/>
          <w:color w:val="000000"/>
          <w:sz w:val="22"/>
          <w:szCs w:val="22"/>
        </w:rPr>
      </w:pPr>
    </w:p>
    <w:p w:rsidR="002355F1" w:rsidRDefault="005A478B" w:rsidP="00D936C4">
      <w:pPr>
        <w:spacing w:line="360" w:lineRule="auto"/>
        <w:jc w:val="both"/>
        <w:rPr>
          <w:color w:val="000000"/>
        </w:rPr>
      </w:pPr>
      <w:r>
        <w:rPr>
          <w:color w:val="000000"/>
        </w:rPr>
        <w:t xml:space="preserve">De la aplicación de estos criterios no es posible concluir que la existencia de la responsabilidad se verá alterada, sino que los criterios podrán modular su dimensión y consecuencias reprensibles ya sea en sentido favorable o desfavorable (Morón 2009: 694).  Resulta fundamental que en la materialización de la potestad sancionadora, multa en el caso </w:t>
      </w:r>
      <w:r>
        <w:rPr>
          <w:color w:val="000000"/>
        </w:rPr>
        <w:lastRenderedPageBreak/>
        <w:t xml:space="preserve">de la Ley 26876, la autoridad realice una apreciación razonable de los hechos considerando el sujeto que los realizó y otros elementos del caso concreto (Morón 2009: 695).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Esto permitirá que en el ejercicio de la imposición de sanción por parte de la autoridad no se realice una aplicación mecánica de las normas, sino que se observe un equilibrio entre cumplir el objetivo de la multa de ser un desincentivo a los agentes económicos para que no cometan dicha conducta, y que dicha imposición considere las situaciones concretas del caso en aplicación a los criterios de graduación.</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Similar postura expone el Tribunal Constitucional en el Expediente 2192-2004-AA/TC del 11 de octubre de 2014:</w:t>
      </w:r>
    </w:p>
    <w:p w:rsidR="002355F1" w:rsidRDefault="002355F1" w:rsidP="00D936C4">
      <w:pPr>
        <w:spacing w:line="360" w:lineRule="auto"/>
        <w:jc w:val="both"/>
        <w:rPr>
          <w:color w:val="000000"/>
        </w:rPr>
      </w:pPr>
    </w:p>
    <w:p w:rsidR="002355F1" w:rsidRPr="00CC37BB" w:rsidRDefault="005A478B" w:rsidP="00D936C4">
      <w:pPr>
        <w:pBdr>
          <w:top w:val="nil"/>
          <w:left w:val="nil"/>
          <w:bottom w:val="nil"/>
          <w:right w:val="nil"/>
          <w:between w:val="nil"/>
        </w:pBdr>
        <w:spacing w:line="360" w:lineRule="auto"/>
        <w:ind w:left="720"/>
        <w:jc w:val="both"/>
        <w:rPr>
          <w:color w:val="000000"/>
          <w:sz w:val="20"/>
          <w:szCs w:val="20"/>
        </w:rPr>
      </w:pPr>
      <w:r w:rsidRPr="00CC37BB">
        <w:rPr>
          <w:color w:val="000000"/>
          <w:sz w:val="20"/>
          <w:szCs w:val="20"/>
        </w:rPr>
        <w:t xml:space="preserve">20. [...] esto implica un claro mandato a la administración [...] para que, en el momento de establecer una sanción administrativa, no se limite a realizar un razonamiento mecánico de aplicación de normas, sino que, además, efectúe una apreciación razonable de los hechos en relación con quien los hubiese cometido; es decir, que no se trata solo de contemplar los hechos en abstracto, sino «en cada caso» [...] Por tanto, una decisión razonable en estos casos supone, cuando menos: a) La elección adecuada de las normas aplicables al caso y su correcta interpretación, tomando en cuenta no solo una ley particular, sino el ordenamiento jurídico en su conjunto. b) La comprensión objetiva y razonable de los hechos que rodean al caso, que implica no solo una contemplación en «abstracto» de los hechos, sino su observación en directa relación con sus protagonistas, pues solo así, un «hecho» resultará menos o más tolerable [...] c) Una vez establecida la necesidad de la medida de sanción, </w:t>
      </w:r>
      <w:r w:rsidR="0066148C">
        <w:rPr>
          <w:color w:val="000000"/>
          <w:sz w:val="20"/>
          <w:szCs w:val="20"/>
        </w:rPr>
        <w:t>(…)</w:t>
      </w:r>
      <w:r w:rsidRPr="00CC37BB">
        <w:rPr>
          <w:color w:val="000000"/>
          <w:sz w:val="20"/>
          <w:szCs w:val="20"/>
        </w:rPr>
        <w:t xml:space="preserve"> entonces el tercer elemento a tener en cuenta es que la medida adoptada sea la más idónea y de menor afectación posible a los derechos de los implicados en el caso. (Tribunal Constitucional 2004: fundamento 20).</w:t>
      </w:r>
    </w:p>
    <w:p w:rsidR="002355F1" w:rsidRPr="00CC37BB" w:rsidRDefault="002355F1" w:rsidP="00D936C4">
      <w:pPr>
        <w:pBdr>
          <w:top w:val="nil"/>
          <w:left w:val="nil"/>
          <w:bottom w:val="nil"/>
          <w:right w:val="nil"/>
          <w:between w:val="nil"/>
        </w:pBdr>
        <w:spacing w:line="360" w:lineRule="auto"/>
        <w:ind w:left="720"/>
        <w:jc w:val="both"/>
        <w:rPr>
          <w:color w:val="000000"/>
          <w:sz w:val="20"/>
          <w:szCs w:val="20"/>
        </w:rPr>
      </w:pPr>
    </w:p>
    <w:p w:rsidR="002355F1" w:rsidRDefault="005A478B" w:rsidP="00D936C4">
      <w:pPr>
        <w:pBdr>
          <w:top w:val="nil"/>
          <w:left w:val="nil"/>
          <w:bottom w:val="nil"/>
          <w:right w:val="nil"/>
          <w:between w:val="nil"/>
        </w:pBdr>
        <w:spacing w:line="360" w:lineRule="auto"/>
        <w:jc w:val="both"/>
        <w:rPr>
          <w:color w:val="000000"/>
        </w:rPr>
      </w:pPr>
      <w:r>
        <w:rPr>
          <w:color w:val="000000"/>
        </w:rPr>
        <w:t xml:space="preserve">Finalmente, </w:t>
      </w:r>
      <w:r>
        <w:t>e</w:t>
      </w:r>
      <w:r>
        <w:rPr>
          <w:color w:val="000000"/>
        </w:rPr>
        <w:t xml:space="preserve">l Tribunal Constitucional en la </w:t>
      </w:r>
      <w:r>
        <w:rPr>
          <w:color w:val="000000"/>
          <w:highlight w:val="white"/>
        </w:rPr>
        <w:t xml:space="preserve">Sentencia recaída en el Expediente 04173-2010-PA/TC del 12 de julio de 2011, señaló que </w:t>
      </w:r>
      <w:r>
        <w:rPr>
          <w:color w:val="000000"/>
        </w:rPr>
        <w:t>la Administración debe ejercer su potestad sancionadora dentro de ciertos márgenes y por ese motivo, al emitir contra los administrados actos de gravamen, debe hacerlo de manera legítima y justa. La Administración, según el Tribunal Constitucional en el mismo Expediente 0</w:t>
      </w:r>
      <w:r>
        <w:rPr>
          <w:color w:val="000000"/>
          <w:highlight w:val="white"/>
        </w:rPr>
        <w:t>4173-2010-PA/TC</w:t>
      </w:r>
      <w:r>
        <w:rPr>
          <w:color w:val="000000"/>
        </w:rPr>
        <w:t xml:space="preserve"> “no goza de plena discrecionalidad para ejercer su potestad sancionadora, sino que las sanciones deben guardar relación con el hecho y las circunstancias que motivan su imposición”.</w:t>
      </w:r>
    </w:p>
    <w:p w:rsidR="002355F1" w:rsidRDefault="005A478B" w:rsidP="00123ED2">
      <w:pPr>
        <w:pStyle w:val="Ttulo3"/>
        <w:numPr>
          <w:ilvl w:val="2"/>
          <w:numId w:val="3"/>
        </w:numPr>
        <w:spacing w:line="360" w:lineRule="auto"/>
        <w:rPr>
          <w:color w:val="000000"/>
          <w:sz w:val="24"/>
          <w:szCs w:val="24"/>
        </w:rPr>
      </w:pPr>
      <w:bookmarkStart w:id="47" w:name="_Toc47387754"/>
      <w:r>
        <w:rPr>
          <w:color w:val="000000"/>
          <w:sz w:val="24"/>
          <w:szCs w:val="24"/>
        </w:rPr>
        <w:lastRenderedPageBreak/>
        <w:t>El único criterio</w:t>
      </w:r>
      <w:r w:rsidR="00435175">
        <w:rPr>
          <w:color w:val="000000"/>
          <w:sz w:val="24"/>
          <w:szCs w:val="24"/>
        </w:rPr>
        <w:t xml:space="preserve"> considerado por </w:t>
      </w:r>
      <w:r>
        <w:rPr>
          <w:color w:val="000000"/>
          <w:sz w:val="24"/>
          <w:szCs w:val="24"/>
        </w:rPr>
        <w:t>la Comisión</w:t>
      </w:r>
      <w:r w:rsidR="00435175">
        <w:rPr>
          <w:color w:val="000000"/>
          <w:sz w:val="24"/>
          <w:szCs w:val="24"/>
        </w:rPr>
        <w:t xml:space="preserve"> en la imposición de la sanción</w:t>
      </w:r>
      <w:r>
        <w:rPr>
          <w:color w:val="000000"/>
          <w:sz w:val="24"/>
          <w:szCs w:val="24"/>
        </w:rPr>
        <w:t xml:space="preserve">: </w:t>
      </w:r>
      <w:r w:rsidR="00435175">
        <w:rPr>
          <w:color w:val="000000"/>
          <w:sz w:val="24"/>
          <w:szCs w:val="24"/>
        </w:rPr>
        <w:t xml:space="preserve">la </w:t>
      </w:r>
      <w:r>
        <w:rPr>
          <w:color w:val="000000"/>
          <w:sz w:val="24"/>
          <w:szCs w:val="24"/>
        </w:rPr>
        <w:t>intencionalidad.</w:t>
      </w:r>
      <w:bookmarkEnd w:id="47"/>
    </w:p>
    <w:p w:rsidR="002355F1" w:rsidRDefault="005A478B" w:rsidP="00D936C4">
      <w:pPr>
        <w:spacing w:line="360" w:lineRule="auto"/>
        <w:jc w:val="both"/>
        <w:rPr>
          <w:color w:val="000000"/>
        </w:rPr>
      </w:pPr>
      <w:r>
        <w:rPr>
          <w:color w:val="000000"/>
        </w:rPr>
        <w:t xml:space="preserve">Respecto a la sanción impuesta, la Comisión, al resolver mediante Resolución 001-2010/CLC-INDECOPI impuso la sanción de 1000 UIT considerando como único factor la intencionalidad. </w:t>
      </w:r>
    </w:p>
    <w:p w:rsidR="002355F1" w:rsidRDefault="002355F1" w:rsidP="00D936C4">
      <w:pPr>
        <w:spacing w:line="360" w:lineRule="auto"/>
        <w:jc w:val="both"/>
      </w:pPr>
    </w:p>
    <w:p w:rsidR="002355F1" w:rsidRDefault="005A478B" w:rsidP="00D936C4">
      <w:pPr>
        <w:spacing w:line="360" w:lineRule="auto"/>
        <w:jc w:val="both"/>
        <w:rPr>
          <w:color w:val="000000"/>
        </w:rPr>
      </w:pPr>
      <w:r>
        <w:rPr>
          <w:color w:val="000000"/>
        </w:rPr>
        <w:t xml:space="preserve">Este pronunciamiento de la Comisión, conforme a lo expuesto en la </w:t>
      </w:r>
      <w:r>
        <w:t>sección previa</w:t>
      </w:r>
      <w:r>
        <w:rPr>
          <w:color w:val="000000"/>
        </w:rPr>
        <w:t xml:space="preserve">, </w:t>
      </w:r>
      <w:r>
        <w:t xml:space="preserve">podría haber incluido, al </w:t>
      </w:r>
      <w:r>
        <w:rPr>
          <w:color w:val="000000"/>
        </w:rPr>
        <w:t xml:space="preserve">determinar la responsabilidad una justificación de por qué </w:t>
      </w:r>
      <w:r>
        <w:t xml:space="preserve">las </w:t>
      </w:r>
      <w:r>
        <w:rPr>
          <w:color w:val="000000"/>
        </w:rPr>
        <w:t xml:space="preserve">medidas adoptadas a efectos de reducir el impacto del cambio de estructura en las sociedades eléctricas que controla en el Perú no deberían ser consideradas. </w:t>
      </w:r>
    </w:p>
    <w:p w:rsidR="002355F1" w:rsidRDefault="002355F1" w:rsidP="00D936C4">
      <w:pPr>
        <w:spacing w:line="360" w:lineRule="auto"/>
        <w:jc w:val="both"/>
      </w:pPr>
    </w:p>
    <w:p w:rsidR="002355F1" w:rsidRDefault="005A478B" w:rsidP="00D936C4">
      <w:pPr>
        <w:spacing w:line="360" w:lineRule="auto"/>
        <w:jc w:val="both"/>
        <w:rPr>
          <w:color w:val="000000"/>
        </w:rPr>
      </w:pPr>
      <w:r>
        <w:rPr>
          <w:color w:val="000000"/>
        </w:rPr>
        <w:t xml:space="preserve">En materia de sanción, la Ley 26876 no contempla una norma que establezca los criterios para determinar la gravedad y graduación de las conductas determinadas como infractoras, como es el caso de las concentraciones realizadas luego de presentada la solicitud pero antes de obtenida la autorización. Sin embargo, dicha ausencia de criterios de la legislación especial de control de estructuras, no implicaba que la autoridad realice pronunciamientos omitiendo su uso. Ante la ausencia de un marco normativo especial de graduación de la sanción en el régimen de concentraciones, la autoridad pudo aplicar supletoriamente los criterios previstos en el régimen sancionador de control de conductas o </w:t>
      </w:r>
      <w:r>
        <w:rPr>
          <w:color w:val="000000"/>
          <w:u w:val="single"/>
        </w:rPr>
        <w:t>el régimen sancionador general contemplado en la Ley 27444</w:t>
      </w:r>
      <w:r>
        <w:rPr>
          <w:color w:val="000000"/>
        </w:rPr>
        <w:t>.</w:t>
      </w:r>
    </w:p>
    <w:p w:rsidR="002355F1" w:rsidRDefault="002355F1" w:rsidP="00D936C4">
      <w:pPr>
        <w:spacing w:line="360" w:lineRule="auto"/>
        <w:jc w:val="both"/>
        <w:rPr>
          <w:color w:val="000000"/>
          <w:sz w:val="22"/>
          <w:szCs w:val="22"/>
        </w:rPr>
      </w:pPr>
    </w:p>
    <w:p w:rsidR="002355F1" w:rsidRDefault="005A478B" w:rsidP="00D936C4">
      <w:pPr>
        <w:spacing w:line="360" w:lineRule="auto"/>
        <w:jc w:val="both"/>
        <w:rPr>
          <w:color w:val="000000"/>
        </w:rPr>
      </w:pPr>
      <w:r>
        <w:rPr>
          <w:color w:val="000000"/>
        </w:rPr>
        <w:t xml:space="preserve">Se observa en el caso Enel que la autoridad hizo ejercicio de su potestad sancionadora de forma arbitraria, al omitir en su pronunciamiento el uso de los criterios de graduación y considerar como único factor determinante de la gravedad de la sanción la intención de realizar el acto de concentración, sin someter a análisis la existencia de un beneficio ilícito o la generación de efectos perjudiciales sobre el mercado derivados de la concentración empresarial, entre otros criterios.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 xml:space="preserve">Al respecto, es preciso recalcar que si bien la intencionalidad en la conducta del infractor es un elemento considerado para graduar la sanción aplicable, este elemento, ubicado al final del citado artículo y por tanto, el menos relevante al aplicar los criterios, solo es un factor </w:t>
      </w:r>
      <w:r>
        <w:rPr>
          <w:color w:val="000000"/>
        </w:rPr>
        <w:lastRenderedPageBreak/>
        <w:t xml:space="preserve">para graduar la sanción y, como precisa Morón, no es un elemento constitutivo de la infracción (Morón 2009). De igual manera, al no pronunciarse la Comisión sobre las alegaciones de Enel a la Resolución de Inicio ya sea acogiendo o desestimandolas, tampoco pudo sustentar por qué una sanción de 1000 UIT es la herramienta necesaria para evitar que Enel encuentre como ventajoso volver a incurrir en el ilícito. </w:t>
      </w:r>
    </w:p>
    <w:p w:rsidR="002355F1" w:rsidRDefault="00435175" w:rsidP="00123ED2">
      <w:pPr>
        <w:pStyle w:val="Ttulo3"/>
        <w:numPr>
          <w:ilvl w:val="2"/>
          <w:numId w:val="3"/>
        </w:numPr>
        <w:spacing w:line="360" w:lineRule="auto"/>
        <w:rPr>
          <w:color w:val="000000"/>
          <w:sz w:val="24"/>
          <w:szCs w:val="24"/>
        </w:rPr>
      </w:pPr>
      <w:bookmarkStart w:id="48" w:name="_Toc47387755"/>
      <w:r>
        <w:rPr>
          <w:color w:val="000000"/>
          <w:sz w:val="24"/>
          <w:szCs w:val="24"/>
        </w:rPr>
        <w:t>La consecuente n</w:t>
      </w:r>
      <w:r w:rsidR="005A478B">
        <w:rPr>
          <w:color w:val="000000"/>
          <w:sz w:val="24"/>
          <w:szCs w:val="24"/>
        </w:rPr>
        <w:t xml:space="preserve">ulidad y </w:t>
      </w:r>
      <w:r>
        <w:rPr>
          <w:color w:val="000000"/>
          <w:sz w:val="24"/>
          <w:szCs w:val="24"/>
        </w:rPr>
        <w:t xml:space="preserve">aplicación de los </w:t>
      </w:r>
      <w:r w:rsidR="005A478B">
        <w:rPr>
          <w:color w:val="000000"/>
          <w:sz w:val="24"/>
          <w:szCs w:val="24"/>
        </w:rPr>
        <w:t xml:space="preserve">criterios de graduación </w:t>
      </w:r>
      <w:r>
        <w:rPr>
          <w:color w:val="000000"/>
          <w:sz w:val="24"/>
          <w:szCs w:val="24"/>
        </w:rPr>
        <w:t>de la sanción por parte de</w:t>
      </w:r>
      <w:r w:rsidR="005A478B">
        <w:rPr>
          <w:color w:val="000000"/>
          <w:sz w:val="24"/>
          <w:szCs w:val="24"/>
        </w:rPr>
        <w:t xml:space="preserve"> la Sala</w:t>
      </w:r>
      <w:r>
        <w:rPr>
          <w:color w:val="000000"/>
          <w:sz w:val="24"/>
          <w:szCs w:val="24"/>
        </w:rPr>
        <w:t>.</w:t>
      </w:r>
      <w:bookmarkEnd w:id="48"/>
    </w:p>
    <w:p w:rsidR="002355F1" w:rsidRDefault="005A478B" w:rsidP="00D936C4">
      <w:pPr>
        <w:spacing w:line="360" w:lineRule="auto"/>
        <w:jc w:val="both"/>
        <w:rPr>
          <w:color w:val="000000"/>
        </w:rPr>
      </w:pPr>
      <w:r>
        <w:rPr>
          <w:color w:val="000000"/>
        </w:rPr>
        <w:t xml:space="preserve">Es preocupante que una autoridad se limite a la aplicación mecánica de las normas como es la subsunción de los hechos en el tipo legal de la infracción, omitiendo la apreciación de los hechos en el caso concreto. Ello pues todo administrado tiene el derecho a que las sanciones aplicadas sean las menos gravosas posibles, de modo tal que, en el caso particular solo habría sido elevada la sanción si la autoridad hubiera podido justificar la presencia de agravantes y la inexistencia de atenuantes dispuestos en la legislación. Esta falta de análisis es un vicio en el procedimiento administrativo conforme a la omisión del requisito de validez de debida motivación del acto </w:t>
      </w:r>
      <w:r>
        <w:rPr>
          <w:color w:val="000000"/>
          <w:vertAlign w:val="superscript"/>
        </w:rPr>
        <w:footnoteReference w:id="36"/>
      </w:r>
      <w:r>
        <w:rPr>
          <w:color w:val="000000"/>
        </w:rPr>
        <w:t xml:space="preserve"> y propició que la Sala declare la nulidad de la multa. La Sala no se apartó del fondo de la Resolución 001-2010/CLC-INDECOPI; sin embargo, </w:t>
      </w:r>
      <w:r>
        <w:t>desarrolló</w:t>
      </w:r>
      <w:r>
        <w:rPr>
          <w:color w:val="000000"/>
        </w:rPr>
        <w:t xml:space="preserve"> los criterios de graduación del artículo 230.3 de la Ley 27444 e incorpor</w:t>
      </w:r>
      <w:r>
        <w:t>ó a la sanción</w:t>
      </w:r>
      <w:r>
        <w:rPr>
          <w:color w:val="000000"/>
        </w:rPr>
        <w:t xml:space="preserve">. </w:t>
      </w:r>
    </w:p>
    <w:p w:rsidR="002355F1" w:rsidRDefault="002355F1" w:rsidP="00D936C4">
      <w:pPr>
        <w:spacing w:line="360" w:lineRule="auto"/>
        <w:jc w:val="center"/>
        <w:rPr>
          <w:color w:val="000000"/>
        </w:rPr>
      </w:pPr>
    </w:p>
    <w:p w:rsidR="002355F1" w:rsidRDefault="005A478B" w:rsidP="00D936C4">
      <w:pPr>
        <w:spacing w:line="360" w:lineRule="auto"/>
        <w:jc w:val="both"/>
        <w:rPr>
          <w:color w:val="000000"/>
        </w:rPr>
      </w:pPr>
      <w:r>
        <w:rPr>
          <w:color w:val="000000"/>
        </w:rPr>
        <w:t xml:space="preserve">Solo tras definir que nos encontramos frente a una infracción grave, el monto debe ser fijado respetando los límites permitidos por la ley. Es así que para el caso de las concentraciones que se lleven a cabo luego de presentada la solicitud pero antes de la decisión administrativa, la sanción aplicable es de hasta el 10% de las ventas o ingresos brutos percibidos en el año anterior a la decisión por las empresas eléctricas que desarrollan actividades en territorio nacional y que se encuentren directa o indirectamente involucradas en la concentración. Cabe precisar que, contrario a una de las posiciones sustentadas en la primera sección, no resulta </w:t>
      </w:r>
      <w:r>
        <w:rPr>
          <w:color w:val="000000"/>
        </w:rPr>
        <w:lastRenderedPageBreak/>
        <w:t>exigible que la concentración sea declarada incompatible para ser sancionable, pues la norma ha considerado expresa y literalmente que resulta sancionable el solo cierre de la operación luego de presentada la notificación pero antes de la emisión de una decisión de la autoridad.</w:t>
      </w:r>
    </w:p>
    <w:p w:rsidR="002355F1" w:rsidRDefault="002355F1" w:rsidP="00D936C4">
      <w:pPr>
        <w:spacing w:line="360" w:lineRule="auto"/>
        <w:jc w:val="both"/>
      </w:pPr>
    </w:p>
    <w:p w:rsidR="002355F1" w:rsidRDefault="005A478B" w:rsidP="00D936C4">
      <w:pPr>
        <w:spacing w:line="360" w:lineRule="auto"/>
        <w:jc w:val="both"/>
        <w:rPr>
          <w:color w:val="000000"/>
        </w:rPr>
      </w:pPr>
      <w:r>
        <w:rPr>
          <w:color w:val="000000"/>
        </w:rPr>
        <w:t xml:space="preserve">Ahora, la Sala decidió, tras declarar la nulidad de la multa de la primera instancia,  la imposición de 100 UIT, es decir rebajó en un 90% la multa impuesta por la primera instancia e incluso, este monto es más bajo que el tope máximo de multa a lo dispuesto en el primer párrafo que es 500 UIT. </w:t>
      </w:r>
      <w:r>
        <w:t>Como última tarea, es importante</w:t>
      </w:r>
      <w:r>
        <w:rPr>
          <w:color w:val="000000"/>
        </w:rPr>
        <w:t xml:space="preserve"> comprender una reducción tan radical si nos encontramos frente a una misma transgresión </w:t>
      </w:r>
      <w:r>
        <w:t>a</w:t>
      </w:r>
      <w:r>
        <w:rPr>
          <w:color w:val="000000"/>
        </w:rPr>
        <w:t>l régimen de control ex-ante.</w:t>
      </w:r>
    </w:p>
    <w:p w:rsidR="002355F1" w:rsidRDefault="00435175" w:rsidP="00123ED2">
      <w:pPr>
        <w:pStyle w:val="Ttulo4"/>
        <w:numPr>
          <w:ilvl w:val="2"/>
          <w:numId w:val="3"/>
        </w:numPr>
        <w:spacing w:line="360" w:lineRule="auto"/>
        <w:rPr>
          <w:color w:val="000000"/>
        </w:rPr>
      </w:pPr>
      <w:bookmarkStart w:id="49" w:name="_Toc47387756"/>
      <w:r>
        <w:rPr>
          <w:color w:val="000000"/>
        </w:rPr>
        <w:t>Desarrollo  de l</w:t>
      </w:r>
      <w:r w:rsidR="005A478B">
        <w:rPr>
          <w:color w:val="000000"/>
        </w:rPr>
        <w:t xml:space="preserve">os criterios de la Sala en la Resolución </w:t>
      </w:r>
      <w:r w:rsidR="00872443">
        <w:rPr>
          <w:color w:val="000000"/>
        </w:rPr>
        <w:t>0794</w:t>
      </w:r>
      <w:r w:rsidR="005A478B">
        <w:rPr>
          <w:color w:val="000000"/>
        </w:rPr>
        <w:t>-2011/SC1-INDECOPI</w:t>
      </w:r>
      <w:bookmarkEnd w:id="49"/>
      <w:r w:rsidR="005A478B">
        <w:rPr>
          <w:color w:val="000000"/>
        </w:rPr>
        <w:br/>
      </w:r>
    </w:p>
    <w:p w:rsidR="00496C5C" w:rsidRDefault="005A478B" w:rsidP="00D936C4">
      <w:pPr>
        <w:pStyle w:val="Prrafodelista"/>
        <w:numPr>
          <w:ilvl w:val="0"/>
          <w:numId w:val="22"/>
        </w:numPr>
        <w:spacing w:line="360" w:lineRule="auto"/>
        <w:jc w:val="both"/>
        <w:rPr>
          <w:color w:val="000000"/>
        </w:rPr>
      </w:pPr>
      <w:r w:rsidRPr="00CC37BB">
        <w:rPr>
          <w:color w:val="000000"/>
        </w:rPr>
        <w:t xml:space="preserve">El primer elemento empleado por la Sala es la </w:t>
      </w:r>
      <w:r w:rsidRPr="00CC37BB">
        <w:rPr>
          <w:i/>
          <w:color w:val="000000"/>
        </w:rPr>
        <w:t>gravedad del daño al interés público y/o bien jurídico protegido</w:t>
      </w:r>
      <w:r w:rsidRPr="00CC37BB">
        <w:rPr>
          <w:color w:val="000000"/>
        </w:rPr>
        <w:t xml:space="preserve">, para lo cual, en los </w:t>
      </w:r>
      <w:r>
        <w:t>f</w:t>
      </w:r>
      <w:r w:rsidRPr="00CC37BB">
        <w:rPr>
          <w:color w:val="000000"/>
        </w:rPr>
        <w:t xml:space="preserve">undamentos 100 al 102 de la citada </w:t>
      </w:r>
      <w:r>
        <w:t>Resolución,</w:t>
      </w:r>
      <w:r w:rsidRPr="00CC37BB">
        <w:rPr>
          <w:color w:val="000000"/>
        </w:rPr>
        <w:t xml:space="preserve"> indican que lo protegido por el régimen es evitar es que se efectúen operaciones de concentración empresarial que mermen las condiciones de concurrencia existentes en el sector eléctrico y que, como consecuencia de ello, disminuya la competencia efectiva en dicho mercado. </w:t>
      </w:r>
    </w:p>
    <w:p w:rsidR="00496C5C" w:rsidRDefault="00496C5C" w:rsidP="00D936C4">
      <w:pPr>
        <w:pStyle w:val="Prrafodelista"/>
        <w:spacing w:line="360" w:lineRule="auto"/>
        <w:ind w:left="360"/>
        <w:jc w:val="both"/>
        <w:rPr>
          <w:color w:val="000000"/>
        </w:rPr>
      </w:pPr>
    </w:p>
    <w:p w:rsidR="00496C5C" w:rsidRDefault="005A478B" w:rsidP="00D936C4">
      <w:pPr>
        <w:pStyle w:val="Prrafodelista"/>
        <w:spacing w:line="360" w:lineRule="auto"/>
        <w:ind w:left="360"/>
        <w:jc w:val="both"/>
        <w:rPr>
          <w:color w:val="000000"/>
        </w:rPr>
      </w:pPr>
      <w:r w:rsidRPr="00496C5C">
        <w:rPr>
          <w:color w:val="000000"/>
        </w:rPr>
        <w:t xml:space="preserve">Ahora, ¿ha causado un daño a la competencia la operación de concentración realizada por Enel? Para la Sala, el daño a la competencia existía solo si en el pronunciamiento de autorización, la Comisión hubiese identificado que la operación de concentración propuesta generaba daño al proceso competitivo. Entonces, </w:t>
      </w:r>
      <w:r>
        <w:t>según el fundamento 104</w:t>
      </w:r>
      <w:r w:rsidRPr="00496C5C">
        <w:rPr>
          <w:color w:val="000000"/>
        </w:rPr>
        <w:t>, ante una evidente falta de lesión al bien jurídico competencia, a criterio de la Sala, tampoco existió un perjuicio económico pues la concentración no provocó una restricción de la competencia.</w:t>
      </w:r>
    </w:p>
    <w:p w:rsidR="00496C5C" w:rsidRDefault="00496C5C" w:rsidP="00D936C4">
      <w:pPr>
        <w:pStyle w:val="Prrafodelista"/>
        <w:spacing w:line="360" w:lineRule="auto"/>
        <w:ind w:left="360"/>
        <w:jc w:val="both"/>
        <w:rPr>
          <w:color w:val="000000"/>
        </w:rPr>
      </w:pPr>
    </w:p>
    <w:p w:rsidR="00496C5C" w:rsidRDefault="005A478B" w:rsidP="00D936C4">
      <w:pPr>
        <w:pStyle w:val="Prrafodelista"/>
        <w:spacing w:line="360" w:lineRule="auto"/>
        <w:ind w:left="360"/>
        <w:jc w:val="both"/>
        <w:rPr>
          <w:color w:val="000000"/>
        </w:rPr>
      </w:pPr>
      <w:r>
        <w:rPr>
          <w:color w:val="000000"/>
        </w:rPr>
        <w:t xml:space="preserve">Sobre el análisis conjunto de los elementos gravedad del daño al bien jurídico protegido y perjuicio económico, considero correcto que la Sala considere en su análisis el sentido de la Resolución de autorización e identifique el impacto real de una concentración como la propuesta por Enel. Empero, ¿no es un daño </w:t>
      </w:r>
      <w:r>
        <w:rPr>
          <w:i/>
          <w:color w:val="000000"/>
        </w:rPr>
        <w:t>per se</w:t>
      </w:r>
      <w:r>
        <w:rPr>
          <w:color w:val="000000"/>
        </w:rPr>
        <w:t xml:space="preserve"> la omisión a la obligación de </w:t>
      </w:r>
      <w:r>
        <w:rPr>
          <w:color w:val="000000"/>
        </w:rPr>
        <w:lastRenderedPageBreak/>
        <w:t xml:space="preserve">suspensión y otras obligaciones dispuestas por la autoridad de competencia en el marco  del régimen de control de concentraciones? El daño se encuentra, </w:t>
      </w:r>
      <w:r>
        <w:t>para la posición de este Informe</w:t>
      </w:r>
      <w:r>
        <w:rPr>
          <w:color w:val="000000"/>
        </w:rPr>
        <w:t xml:space="preserve">, en la deslegitimación a la posición de autoridad del Indecopi, pues al restarle importancia a la necesidad del pronunciamiento por parte de la Comisión y centrar la Sala su justificación en que la autoridad identificó como una operación sin mayores perjuicios a la competencia, puede generar un incentivo de que los agentes económicos vean como un elemento no fundamental esperar un pronunciamiento de la autoridad de competencia al tener cierta seguridad. A modo de ejemplo, los agentes involucrados tendrían incentivos para cerrar la transacción después del traslado del Informe Técnico de la Secretaría Técnica con recomendaciones a la Comisión de aprobar la operación propuesta sin condiciones, porque, acogiendo el criterio de la Sala, una aprobación de la autorización sin condiciones representa un </w:t>
      </w:r>
      <w:r>
        <w:t>criterio favorable</w:t>
      </w:r>
      <w:r>
        <w:rPr>
          <w:color w:val="000000"/>
        </w:rPr>
        <w:t xml:space="preserve"> ante una eventual concentración sin autorización. </w:t>
      </w:r>
    </w:p>
    <w:p w:rsidR="00496C5C" w:rsidRDefault="00496C5C" w:rsidP="00D936C4">
      <w:pPr>
        <w:pStyle w:val="Prrafodelista"/>
        <w:spacing w:line="360" w:lineRule="auto"/>
        <w:ind w:left="360"/>
        <w:jc w:val="both"/>
        <w:rPr>
          <w:color w:val="000000"/>
        </w:rPr>
      </w:pPr>
    </w:p>
    <w:p w:rsidR="00496C5C" w:rsidRDefault="005A478B" w:rsidP="00D936C4">
      <w:pPr>
        <w:pStyle w:val="Prrafodelista"/>
        <w:spacing w:line="360" w:lineRule="auto"/>
        <w:ind w:left="360"/>
        <w:jc w:val="both"/>
        <w:rPr>
          <w:color w:val="000000"/>
        </w:rPr>
      </w:pPr>
      <w:r>
        <w:rPr>
          <w:color w:val="000000"/>
        </w:rPr>
        <w:t xml:space="preserve">Aún más, con el conocimiento de que, la mayoría de los pronunciamientos de autorización de la Comisión han resultado favorables, podrían los agentes asumir como más rentable asumir la eventual multa frente a las sinergias positivas que generaría para el agente económico implementar la operación antes de la autorización. </w:t>
      </w:r>
    </w:p>
    <w:p w:rsidR="00496C5C" w:rsidRDefault="00496C5C" w:rsidP="00D936C4">
      <w:pPr>
        <w:pStyle w:val="Prrafodelista"/>
        <w:spacing w:line="360" w:lineRule="auto"/>
        <w:ind w:left="360"/>
        <w:jc w:val="both"/>
        <w:rPr>
          <w:color w:val="000000"/>
        </w:rPr>
      </w:pPr>
    </w:p>
    <w:p w:rsidR="002355F1" w:rsidRDefault="005A478B" w:rsidP="00D936C4">
      <w:pPr>
        <w:pStyle w:val="Prrafodelista"/>
        <w:spacing w:line="360" w:lineRule="auto"/>
        <w:ind w:left="360"/>
        <w:jc w:val="both"/>
        <w:rPr>
          <w:color w:val="000000"/>
        </w:rPr>
      </w:pPr>
      <w:r>
        <w:rPr>
          <w:color w:val="000000"/>
        </w:rPr>
        <w:t>En otras palabras, el agente que observe que el criterio del daño a la competencia reside en la calidad de la autorización obtenida, tendrá incentivos suficientes para que el agente proceda a cerrar la operación de forma previa a la autorización si tiene cierto nivel de certeza que el sentido del pronunciamiento de la autoridad será favorable a la operación.</w:t>
      </w:r>
    </w:p>
    <w:p w:rsidR="002355F1" w:rsidRDefault="002355F1" w:rsidP="00D936C4">
      <w:pPr>
        <w:spacing w:line="360" w:lineRule="auto"/>
        <w:ind w:left="720"/>
        <w:jc w:val="both"/>
        <w:rPr>
          <w:color w:val="000000"/>
        </w:rPr>
      </w:pPr>
    </w:p>
    <w:p w:rsidR="002355F1" w:rsidRPr="00435175" w:rsidRDefault="005A478B" w:rsidP="00435175">
      <w:pPr>
        <w:pStyle w:val="Prrafodelista"/>
        <w:numPr>
          <w:ilvl w:val="0"/>
          <w:numId w:val="22"/>
        </w:numPr>
        <w:spacing w:line="360" w:lineRule="auto"/>
        <w:jc w:val="both"/>
        <w:rPr>
          <w:color w:val="000000"/>
        </w:rPr>
      </w:pPr>
      <w:r w:rsidRPr="00CC37BB">
        <w:rPr>
          <w:color w:val="000000"/>
        </w:rPr>
        <w:t>Respecto a la continuidad o reincidencia, la Sala en los fundamentos 106 y 10</w:t>
      </w:r>
      <w:r>
        <w:t xml:space="preserve">7, </w:t>
      </w:r>
      <w:r w:rsidRPr="00CC37BB">
        <w:rPr>
          <w:color w:val="000000"/>
        </w:rPr>
        <w:t>solo manifiesta que este criterio no es un atenuante, sino un agravante, en tanto no se puede premiar a un administrado con una atenuación de la multa por el mero hecho que antes actuó conforme al ordenamiento.</w:t>
      </w:r>
      <w:r w:rsidRPr="00435175">
        <w:rPr>
          <w:color w:val="000000"/>
        </w:rPr>
        <w:t xml:space="preserve"> </w:t>
      </w:r>
      <w:r w:rsidRPr="00435175">
        <w:rPr>
          <w:color w:val="000000"/>
        </w:rPr>
        <w:br/>
      </w:r>
    </w:p>
    <w:p w:rsidR="00496C5C" w:rsidRDefault="005A478B" w:rsidP="00D936C4">
      <w:pPr>
        <w:numPr>
          <w:ilvl w:val="0"/>
          <w:numId w:val="22"/>
        </w:numPr>
        <w:spacing w:line="360" w:lineRule="auto"/>
        <w:jc w:val="both"/>
        <w:rPr>
          <w:color w:val="000000"/>
        </w:rPr>
      </w:pPr>
      <w:r>
        <w:rPr>
          <w:color w:val="000000"/>
        </w:rPr>
        <w:t xml:space="preserve">Ahora, respecto al criterio </w:t>
      </w:r>
      <w:r>
        <w:rPr>
          <w:i/>
          <w:color w:val="000000"/>
        </w:rPr>
        <w:t>circunstancias de la comisión de la infracción,</w:t>
      </w:r>
      <w:r>
        <w:rPr>
          <w:color w:val="000000"/>
        </w:rPr>
        <w:t xml:space="preserve"> la Sala, en el f</w:t>
      </w:r>
      <w:r>
        <w:t>undamento 108,</w:t>
      </w:r>
      <w:r>
        <w:rPr>
          <w:color w:val="000000"/>
        </w:rPr>
        <w:t xml:space="preserve"> indicó que si bien la estructura de control había sido modificada con la </w:t>
      </w:r>
      <w:r>
        <w:rPr>
          <w:color w:val="000000"/>
        </w:rPr>
        <w:lastRenderedPageBreak/>
        <w:t xml:space="preserve">operación realizada por Enel, consideró </w:t>
      </w:r>
      <w:r>
        <w:t>que la medida</w:t>
      </w:r>
      <w:r>
        <w:rPr>
          <w:color w:val="000000"/>
        </w:rPr>
        <w:t xml:space="preserve"> societaria implementada sobre las empresas Eepsa, Edegel, Edelnor y Chinango </w:t>
      </w:r>
      <w:r>
        <w:t>buscó</w:t>
      </w:r>
      <w:r>
        <w:rPr>
          <w:color w:val="000000"/>
        </w:rPr>
        <w:t xml:space="preserve"> mantener el mismo </w:t>
      </w:r>
      <w:r>
        <w:rPr>
          <w:i/>
          <w:color w:val="000000"/>
        </w:rPr>
        <w:t xml:space="preserve">status quo </w:t>
      </w:r>
      <w:r>
        <w:rPr>
          <w:color w:val="000000"/>
        </w:rPr>
        <w:t xml:space="preserve">que se venía aplicando en las </w:t>
      </w:r>
      <w:r>
        <w:t xml:space="preserve">referidas empresas para así limitar </w:t>
      </w:r>
      <w:r>
        <w:rPr>
          <w:color w:val="000000"/>
        </w:rPr>
        <w:t>los efectos del cambio de estructura de gestión.</w:t>
      </w:r>
      <w:r>
        <w:t xml:space="preserve"> </w:t>
      </w:r>
      <w:r>
        <w:rPr>
          <w:color w:val="000000"/>
        </w:rPr>
        <w:t>Para la Sala</w:t>
      </w:r>
      <w:r>
        <w:t xml:space="preserve"> en su </w:t>
      </w:r>
      <w:r>
        <w:rPr>
          <w:color w:val="000000"/>
        </w:rPr>
        <w:t>fundamento</w:t>
      </w:r>
      <w:r>
        <w:t xml:space="preserve"> 110, “</w:t>
      </w:r>
      <w:r>
        <w:rPr>
          <w:color w:val="000000"/>
        </w:rPr>
        <w:t>ello demuestra la voluntad de Enel de que el mercado no experimente mayores variaciones que materialicen el ejercicio “activo” del control que asumió, lo cual constituye un factor atenuante de la sanción</w:t>
      </w:r>
      <w:r>
        <w:t>”</w:t>
      </w:r>
      <w:r>
        <w:rPr>
          <w:color w:val="000000"/>
        </w:rPr>
        <w:t>.</w:t>
      </w:r>
    </w:p>
    <w:p w:rsidR="002355F1" w:rsidRPr="00496C5C" w:rsidRDefault="005A478B" w:rsidP="00D936C4">
      <w:pPr>
        <w:spacing w:line="360" w:lineRule="auto"/>
        <w:ind w:left="360"/>
        <w:jc w:val="both"/>
        <w:rPr>
          <w:color w:val="000000"/>
        </w:rPr>
      </w:pPr>
      <w:r w:rsidRPr="00496C5C">
        <w:rPr>
          <w:color w:val="000000"/>
        </w:rPr>
        <w:t>Este sentido del pronunciamiento solo confirma y refuerza lo sostenido en la sección 2, la Sala abre la posibilidad a la adopción de medidas de dispensa. El análisis debió ser centrado en la suficiencia y oportunidad, requisitos que no identific</w:t>
      </w:r>
      <w:r>
        <w:t>ó</w:t>
      </w:r>
      <w:r w:rsidRPr="00496C5C">
        <w:rPr>
          <w:color w:val="000000"/>
        </w:rPr>
        <w:t xml:space="preserve"> como satisfechos en el caso particular pero que, eventualmente, podrían justificar la aceptación de implementaciones parciales. </w:t>
      </w:r>
    </w:p>
    <w:p w:rsidR="002355F1" w:rsidRDefault="002355F1" w:rsidP="00D936C4">
      <w:pPr>
        <w:spacing w:line="360" w:lineRule="auto"/>
        <w:ind w:left="720"/>
        <w:jc w:val="both"/>
        <w:rPr>
          <w:color w:val="000000"/>
        </w:rPr>
      </w:pPr>
    </w:p>
    <w:p w:rsidR="00496C5C" w:rsidRDefault="005A478B" w:rsidP="00D936C4">
      <w:pPr>
        <w:numPr>
          <w:ilvl w:val="0"/>
          <w:numId w:val="22"/>
        </w:numPr>
        <w:spacing w:line="360" w:lineRule="auto"/>
        <w:jc w:val="both"/>
        <w:rPr>
          <w:color w:val="000000"/>
        </w:rPr>
      </w:pPr>
      <w:r>
        <w:rPr>
          <w:color w:val="000000"/>
        </w:rPr>
        <w:t xml:space="preserve">En el criterio </w:t>
      </w:r>
      <w:r>
        <w:rPr>
          <w:i/>
          <w:color w:val="000000"/>
        </w:rPr>
        <w:t>beneficio ilícito</w:t>
      </w:r>
      <w:r>
        <w:rPr>
          <w:color w:val="000000"/>
        </w:rPr>
        <w:t xml:space="preserve">, la Sala prevé dos cosas en sus fundamentos 114 y 115: que en periodo tan corto dado entre la implementación y la autorización era difícil que se materialicen las eficiencias propias de una concentración y, por el contrario, la operación de concentración habría propiciado la creación de eficiencias al reducir los costos de coordinación. </w:t>
      </w:r>
    </w:p>
    <w:p w:rsidR="00496C5C" w:rsidRDefault="00496C5C" w:rsidP="00D936C4">
      <w:pPr>
        <w:spacing w:line="360" w:lineRule="auto"/>
        <w:ind w:left="360"/>
        <w:jc w:val="both"/>
        <w:rPr>
          <w:color w:val="000000"/>
        </w:rPr>
      </w:pPr>
    </w:p>
    <w:p w:rsidR="002355F1" w:rsidRPr="00496C5C" w:rsidRDefault="005A478B" w:rsidP="00D936C4">
      <w:pPr>
        <w:spacing w:line="360" w:lineRule="auto"/>
        <w:ind w:left="360"/>
        <w:jc w:val="both"/>
        <w:rPr>
          <w:color w:val="000000"/>
        </w:rPr>
      </w:pPr>
      <w:r w:rsidRPr="00496C5C">
        <w:rPr>
          <w:color w:val="000000"/>
        </w:rPr>
        <w:t>Con cargo a que el análisis del beneficio ilícito requiere un sustento económico, una operación de concentración</w:t>
      </w:r>
      <w:r>
        <w:t xml:space="preserve"> puede</w:t>
      </w:r>
      <w:r w:rsidRPr="00496C5C">
        <w:rPr>
          <w:color w:val="000000"/>
        </w:rPr>
        <w:t xml:space="preserve"> generar beneficios desde el primer momento no siendo un argumento sostenible que el tiempo fue muy corto para que se materialicen las eficiencias propias de la concentración. Ya sea desde el incremento del valor de determinadas propiedades,</w:t>
      </w:r>
      <w:r>
        <w:t xml:space="preserve"> </w:t>
      </w:r>
      <w:r w:rsidRPr="00496C5C">
        <w:rPr>
          <w:color w:val="000000"/>
        </w:rPr>
        <w:t xml:space="preserve">la renegociación de contratos, o la repotenciación del valor comercial y reputacional del agente económico, estos ya pueden ser considerados como beneficios obtenidos fuera de la legalidad del régimen. </w:t>
      </w:r>
    </w:p>
    <w:p w:rsidR="002355F1" w:rsidRDefault="002355F1" w:rsidP="00D936C4">
      <w:pPr>
        <w:spacing w:line="360" w:lineRule="auto"/>
        <w:ind w:left="720"/>
        <w:jc w:val="both"/>
        <w:rPr>
          <w:color w:val="000000"/>
        </w:rPr>
      </w:pPr>
    </w:p>
    <w:p w:rsidR="002355F1" w:rsidRDefault="005A478B" w:rsidP="00D936C4">
      <w:pPr>
        <w:numPr>
          <w:ilvl w:val="0"/>
          <w:numId w:val="22"/>
        </w:numPr>
        <w:spacing w:line="360" w:lineRule="auto"/>
        <w:jc w:val="both"/>
        <w:rPr>
          <w:color w:val="000000"/>
        </w:rPr>
      </w:pPr>
      <w:r>
        <w:rPr>
          <w:color w:val="000000"/>
        </w:rPr>
        <w:t xml:space="preserve">Finalmente, coincide la Sala con la Comisión en el extremo de la </w:t>
      </w:r>
      <w:r>
        <w:rPr>
          <w:i/>
          <w:color w:val="000000"/>
        </w:rPr>
        <w:t>intencionalidad</w:t>
      </w:r>
      <w:r>
        <w:rPr>
          <w:color w:val="000000"/>
        </w:rPr>
        <w:t xml:space="preserve"> pues Enel llevó a cabo el acto de concentración de forma deliberada, pese a encontrarse a la espera de la autorización de la Comisión. </w:t>
      </w:r>
    </w:p>
    <w:p w:rsidR="002355F1" w:rsidRDefault="002355F1" w:rsidP="00D936C4">
      <w:pPr>
        <w:spacing w:line="360" w:lineRule="auto"/>
        <w:ind w:left="720"/>
        <w:jc w:val="both"/>
        <w:rPr>
          <w:color w:val="000000"/>
        </w:rPr>
      </w:pPr>
    </w:p>
    <w:p w:rsidR="002355F1" w:rsidRDefault="005A478B" w:rsidP="00D936C4">
      <w:pPr>
        <w:spacing w:line="360" w:lineRule="auto"/>
        <w:jc w:val="both"/>
        <w:rPr>
          <w:color w:val="000000"/>
        </w:rPr>
      </w:pPr>
      <w:r>
        <w:rPr>
          <w:color w:val="000000"/>
        </w:rPr>
        <w:lastRenderedPageBreak/>
        <w:t xml:space="preserve">La Sala realizó un contrapeso entre todos los factores de graduación e indica que, si bien existió intencionalidad, la referida implementación no trajo consigo daño a la competencia y las medidas comerciales y societarias adoptadas por Enel estuvieron avocadas a reducir el impacto de la infracción. De manera adicional, resaltó la importancia de que la autoridad de las señales adecuadas para que los agentes no realicen infracciones que puedan ser susceptibles de afectar el proceso competitivo sin esperar el pronunciamiento de la Comisión, por ello la Sala consideró como una sanción desincentivadora dentro del umbral permitido por el artículo 6 de la Ley 26876, imponer a Enel una multa de 100 UIT. </w:t>
      </w:r>
    </w:p>
    <w:p w:rsidR="00435175" w:rsidRDefault="00435175" w:rsidP="00D936C4">
      <w:pPr>
        <w:spacing w:line="360" w:lineRule="auto"/>
        <w:jc w:val="both"/>
        <w:rPr>
          <w:color w:val="000000"/>
        </w:rPr>
      </w:pPr>
    </w:p>
    <w:p w:rsidR="00CC37BB" w:rsidRPr="00496C5C" w:rsidRDefault="005A478B" w:rsidP="00D936C4">
      <w:pPr>
        <w:spacing w:line="360" w:lineRule="auto"/>
        <w:jc w:val="both"/>
        <w:rPr>
          <w:color w:val="000000"/>
        </w:rPr>
      </w:pPr>
      <w:r>
        <w:rPr>
          <w:color w:val="000000"/>
        </w:rPr>
        <w:t xml:space="preserve">En la línea con lo expuesto líneas arriba, el pronunciamiento de la Sala es importante porque rescata el uso de los criterios de graduación de la Ley 27444. Sin embargo, la Sala fundamenta su análisis de gravedad en que la autorización fue aprobada sin condiciones, lo cual si bien es importante, deslegitima la potestad de la Administración sobre los administrados de hacer sus mandatos obligatorios y, da un mensaje de que, en caso </w:t>
      </w:r>
      <w:r>
        <w:t>un agente decida</w:t>
      </w:r>
      <w:r>
        <w:rPr>
          <w:color w:val="000000"/>
        </w:rPr>
        <w:t xml:space="preserve"> omitir el mandato de esperar a la autorización, las consecuencias no son tan graves si es que </w:t>
      </w:r>
      <w:r>
        <w:t xml:space="preserve">la </w:t>
      </w:r>
      <w:r>
        <w:rPr>
          <w:color w:val="000000"/>
        </w:rPr>
        <w:t xml:space="preserve">operación es considerada no dañina a la competencia. El propósito de la figura de implementación sin autorización es evitar el daño a la competencia de futuras operaciones; no obstante, para ello requiere que los administrados vean a la Comisión u autoridad de competencia correspondiente como una autoridad a la cual no es posible evadir, con roles de vigilancia y sanción firmemente protegidos.  </w:t>
      </w:r>
    </w:p>
    <w:p w:rsidR="002355F1" w:rsidRDefault="005A478B" w:rsidP="00123ED2">
      <w:pPr>
        <w:pStyle w:val="Ttulo2"/>
        <w:numPr>
          <w:ilvl w:val="0"/>
          <w:numId w:val="3"/>
        </w:numPr>
        <w:spacing w:line="360" w:lineRule="auto"/>
        <w:rPr>
          <w:sz w:val="24"/>
          <w:szCs w:val="24"/>
        </w:rPr>
      </w:pPr>
      <w:bookmarkStart w:id="50" w:name="_Toc47387757"/>
      <w:r>
        <w:rPr>
          <w:sz w:val="24"/>
          <w:szCs w:val="24"/>
        </w:rPr>
        <w:t>Conclusiones</w:t>
      </w:r>
      <w:bookmarkEnd w:id="50"/>
      <w:r>
        <w:rPr>
          <w:sz w:val="24"/>
          <w:szCs w:val="24"/>
        </w:rPr>
        <w:t xml:space="preserve"> </w:t>
      </w:r>
    </w:p>
    <w:p w:rsidR="002355F1" w:rsidRDefault="002355F1" w:rsidP="00D936C4">
      <w:pPr>
        <w:spacing w:line="360" w:lineRule="auto"/>
      </w:pPr>
    </w:p>
    <w:p w:rsidR="002355F1" w:rsidRDefault="005A478B" w:rsidP="00D936C4">
      <w:pPr>
        <w:spacing w:line="360" w:lineRule="auto"/>
        <w:jc w:val="both"/>
        <w:rPr>
          <w:color w:val="000000"/>
        </w:rPr>
      </w:pPr>
      <w:r>
        <w:rPr>
          <w:color w:val="000000"/>
        </w:rPr>
        <w:t>El Informe Jurídico buscó abarcar las incidencias del procedimiento administrativo sancionador originado a partir del control de concentraciones en el Perú. Al respecto, si bien este caso fue enfocado a las falencias del procedimiento administrativo sancionador</w:t>
      </w:r>
      <w:r>
        <w:t xml:space="preserve"> </w:t>
      </w:r>
      <w:r>
        <w:rPr>
          <w:color w:val="000000"/>
        </w:rPr>
        <w:t xml:space="preserve">por la infracción a la Ley 26876 impulsado por Indecopi contra Enel, para el desarrollo ha sido necesario repasar el impacto del control de concentraciones en la industria eléctrica en Perú. </w:t>
      </w:r>
    </w:p>
    <w:p w:rsidR="002355F1" w:rsidRDefault="002355F1" w:rsidP="00D936C4">
      <w:pPr>
        <w:spacing w:line="360" w:lineRule="auto"/>
        <w:jc w:val="both"/>
        <w:rPr>
          <w:color w:val="000000"/>
        </w:rPr>
      </w:pPr>
    </w:p>
    <w:p w:rsidR="002355F1" w:rsidRDefault="005A478B" w:rsidP="00D936C4">
      <w:pPr>
        <w:spacing w:line="360" w:lineRule="auto"/>
        <w:jc w:val="both"/>
        <w:rPr>
          <w:color w:val="000000"/>
        </w:rPr>
      </w:pPr>
      <w:r>
        <w:rPr>
          <w:color w:val="000000"/>
        </w:rPr>
        <w:t>Ahora bien, se ha arribado a las siguientes conclusiones:</w:t>
      </w:r>
    </w:p>
    <w:p w:rsidR="002355F1" w:rsidRDefault="002355F1" w:rsidP="00D936C4">
      <w:pPr>
        <w:spacing w:line="360" w:lineRule="auto"/>
        <w:jc w:val="both"/>
        <w:rPr>
          <w:color w:val="000000"/>
        </w:rPr>
      </w:pPr>
    </w:p>
    <w:p w:rsidR="002355F1" w:rsidRDefault="005A478B" w:rsidP="00D936C4">
      <w:pPr>
        <w:numPr>
          <w:ilvl w:val="0"/>
          <w:numId w:val="20"/>
        </w:numPr>
        <w:pBdr>
          <w:top w:val="nil"/>
          <w:left w:val="nil"/>
          <w:bottom w:val="nil"/>
          <w:right w:val="nil"/>
          <w:between w:val="nil"/>
        </w:pBdr>
        <w:spacing w:line="360" w:lineRule="auto"/>
        <w:jc w:val="both"/>
        <w:rPr>
          <w:color w:val="000000"/>
        </w:rPr>
      </w:pPr>
      <w:r>
        <w:rPr>
          <w:color w:val="000000"/>
        </w:rPr>
        <w:lastRenderedPageBreak/>
        <w:t>Sobre el problema jurídico del inicio</w:t>
      </w:r>
      <w:r>
        <w:t xml:space="preserve"> del procedimiento administrativo sancionador contra Enel por parte de la Comisión</w:t>
      </w:r>
      <w:r>
        <w:rPr>
          <w:color w:val="000000"/>
        </w:rPr>
        <w:t xml:space="preserve">, </w:t>
      </w:r>
      <w:r>
        <w:t>es posible concluir que se vulneró la garantía de separación funcional propia de un procedimiento administrativo sancionador al permitirse que sea la Comisión la autoridad que decida el inicio y sancione. Esta situación resulta especialmente perjudicial pues, se requiere que el órgano a cargo de la sanción, llegue a la resolución de la misma sin prejuicios como ya haber decidido el inicio del procedimiento. Aún más, la organización del Indecopi permitía y reconocía como fundamental dicha separación, habiendo sido expuesto el problema en la Exposición de Motivos del Decreto Legislativo 1034, dedicado al control de conductas a cargo de la Comisión, frente a lo cual se procedió a reiterar la necesidad de dicha distinción entre autoridades a efectos de garantizar la imparcialidad durante el procedimiento.</w:t>
      </w:r>
    </w:p>
    <w:p w:rsidR="002355F1" w:rsidRDefault="002355F1" w:rsidP="00D936C4">
      <w:pPr>
        <w:pBdr>
          <w:top w:val="nil"/>
          <w:left w:val="nil"/>
          <w:bottom w:val="nil"/>
          <w:right w:val="nil"/>
          <w:between w:val="nil"/>
        </w:pBdr>
        <w:spacing w:line="360" w:lineRule="auto"/>
        <w:ind w:left="720"/>
        <w:jc w:val="both"/>
      </w:pPr>
    </w:p>
    <w:p w:rsidR="002355F1" w:rsidRDefault="005A478B" w:rsidP="00D936C4">
      <w:pPr>
        <w:pBdr>
          <w:top w:val="nil"/>
          <w:left w:val="nil"/>
          <w:bottom w:val="nil"/>
          <w:right w:val="nil"/>
          <w:between w:val="nil"/>
        </w:pBdr>
        <w:spacing w:line="360" w:lineRule="auto"/>
        <w:ind w:left="720"/>
        <w:jc w:val="both"/>
        <w:rPr>
          <w:color w:val="000000"/>
        </w:rPr>
      </w:pPr>
      <w:r>
        <w:t>A</w:t>
      </w:r>
      <w:r>
        <w:rPr>
          <w:color w:val="000000"/>
        </w:rPr>
        <w:t xml:space="preserve">l día de hoy, la Comisión y la Secretaría Técnica han asumido labores diferenciadas a lo largo del procedimiento administrativo sancionador en temas de conductas. Si bien a la fecha del </w:t>
      </w:r>
      <w:r>
        <w:t xml:space="preserve">presente Informe, </w:t>
      </w:r>
      <w:r>
        <w:rPr>
          <w:color w:val="000000"/>
        </w:rPr>
        <w:t xml:space="preserve">no se ha iniciado un procedimiento administrativo sancionador a partir de la Ley 26876, resultaría necesario que, considerando lo dispuesto en la Ley 27444 </w:t>
      </w:r>
      <w:r>
        <w:t>la cual reconoce</w:t>
      </w:r>
      <w:r>
        <w:rPr>
          <w:color w:val="000000"/>
        </w:rPr>
        <w:t xml:space="preserve"> como garantía la separación funcional y las normas </w:t>
      </w:r>
      <w:r>
        <w:t>de</w:t>
      </w:r>
      <w:r>
        <w:rPr>
          <w:color w:val="000000"/>
        </w:rPr>
        <w:t xml:space="preserve"> organización y funciones del Indecopi, se garantice dicha separación en todo ámbito a cargo de las autoridades de libre competencia. Es decir, en el caso </w:t>
      </w:r>
      <w:r>
        <w:t>de</w:t>
      </w:r>
      <w:r>
        <w:rPr>
          <w:color w:val="000000"/>
        </w:rPr>
        <w:t xml:space="preserve"> una infracción a la norma de concentraciones, sea la Secretaría Técnica quien impulse </w:t>
      </w:r>
      <w:r>
        <w:t>el inicio del procedimiento</w:t>
      </w:r>
      <w:r>
        <w:rPr>
          <w:color w:val="000000"/>
        </w:rPr>
        <w:t xml:space="preserve"> y la Comisión quién decida sobre la responsabilidad de Enel.</w:t>
      </w:r>
    </w:p>
    <w:p w:rsidR="00496C5C" w:rsidRDefault="00496C5C" w:rsidP="00D936C4">
      <w:pPr>
        <w:pBdr>
          <w:top w:val="nil"/>
          <w:left w:val="nil"/>
          <w:bottom w:val="nil"/>
          <w:right w:val="nil"/>
          <w:between w:val="nil"/>
        </w:pBdr>
        <w:spacing w:line="360" w:lineRule="auto"/>
        <w:ind w:left="720"/>
        <w:jc w:val="both"/>
        <w:rPr>
          <w:color w:val="000000"/>
        </w:rPr>
      </w:pPr>
    </w:p>
    <w:p w:rsidR="002355F1" w:rsidRDefault="005A478B" w:rsidP="00D936C4">
      <w:pPr>
        <w:numPr>
          <w:ilvl w:val="0"/>
          <w:numId w:val="20"/>
        </w:numPr>
        <w:pBdr>
          <w:top w:val="nil"/>
          <w:left w:val="nil"/>
          <w:bottom w:val="nil"/>
          <w:right w:val="nil"/>
          <w:between w:val="nil"/>
        </w:pBdr>
        <w:spacing w:line="360" w:lineRule="auto"/>
        <w:jc w:val="both"/>
        <w:rPr>
          <w:color w:val="000000"/>
        </w:rPr>
      </w:pPr>
      <w:r>
        <w:rPr>
          <w:color w:val="000000"/>
        </w:rPr>
        <w:t xml:space="preserve">La infracción del artículo 6 de la Ley 26876, como se ha desarrollado en la sección correspondiente, no ha sido tipificada de forma clara y requiere, para salvaguardar las sanciones, una interpretación acorde al objetivo de la norma. </w:t>
      </w:r>
      <w:r>
        <w:t xml:space="preserve">Si bien, de una revisión del artículo 6 es posible identificar la conducta “realización de notificación, pero cierre de la operación de manera previa a la autorización” como una infracción al régimen de control, la discusión nace cuando, en el mismo artículo observamos una </w:t>
      </w:r>
      <w:r>
        <w:lastRenderedPageBreak/>
        <w:t xml:space="preserve">doble consecuencia jurídica a una, aparente, misma conducta como es la “omisión de notificación y cierre de operación sin autorización”. </w:t>
      </w:r>
    </w:p>
    <w:p w:rsidR="002355F1" w:rsidRDefault="002355F1" w:rsidP="00D936C4">
      <w:pPr>
        <w:pBdr>
          <w:top w:val="nil"/>
          <w:left w:val="nil"/>
          <w:bottom w:val="nil"/>
          <w:right w:val="nil"/>
          <w:between w:val="nil"/>
        </w:pBdr>
        <w:spacing w:line="360" w:lineRule="auto"/>
        <w:ind w:left="720"/>
        <w:jc w:val="both"/>
      </w:pPr>
    </w:p>
    <w:p w:rsidR="002355F1" w:rsidRDefault="005A478B" w:rsidP="00D936C4">
      <w:pPr>
        <w:pBdr>
          <w:top w:val="nil"/>
          <w:left w:val="nil"/>
          <w:bottom w:val="nil"/>
          <w:right w:val="nil"/>
          <w:between w:val="nil"/>
        </w:pBdr>
        <w:spacing w:line="360" w:lineRule="auto"/>
        <w:ind w:left="720"/>
        <w:jc w:val="both"/>
      </w:pPr>
      <w:r>
        <w:t xml:space="preserve">Como no es posible considerar que el legislador otorgue dos consecuencias a un mismo acto sin que exista un criterio que determina la adopción de una medida o la otra, resultando necesario que pueda identificarse el factor que distingue la aplicación de las dos consecuencias jurídicas del artículo 6. Es cierto que dicho supuesto no es objeto del caso, pero puede llevar a discutir el sentido del artículo e incluso, acotar el alcance de la potestad sancionadora de la Comisión en el régimen de control. </w:t>
      </w:r>
    </w:p>
    <w:p w:rsidR="002355F1" w:rsidRDefault="002355F1" w:rsidP="00D936C4">
      <w:pPr>
        <w:pBdr>
          <w:top w:val="nil"/>
          <w:left w:val="nil"/>
          <w:bottom w:val="nil"/>
          <w:right w:val="nil"/>
          <w:between w:val="nil"/>
        </w:pBdr>
        <w:spacing w:line="360" w:lineRule="auto"/>
        <w:ind w:left="720"/>
        <w:jc w:val="both"/>
      </w:pPr>
    </w:p>
    <w:p w:rsidR="002355F1" w:rsidRDefault="005A478B" w:rsidP="00D936C4">
      <w:pPr>
        <w:pBdr>
          <w:top w:val="nil"/>
          <w:left w:val="nil"/>
          <w:bottom w:val="nil"/>
          <w:right w:val="nil"/>
          <w:between w:val="nil"/>
        </w:pBdr>
        <w:spacing w:line="360" w:lineRule="auto"/>
        <w:ind w:left="720"/>
        <w:jc w:val="both"/>
      </w:pPr>
      <w:r>
        <w:t xml:space="preserve">En ese sentido, fue propuesta una interpretación que rescate el objetivo del control de concentraciones y abarque casos como el de Enel. Ello sin recalcar que, habiendo sido necesaria dicha interpretación, el artículo 6 de la Ley 26876 carece de claridad y requiere un desarrollo, vulnerando así la tipicidad requerida de una infracción a tratar en un procedimiento administrativo sancionador. </w:t>
      </w:r>
    </w:p>
    <w:p w:rsidR="002355F1" w:rsidRDefault="002355F1" w:rsidP="00D936C4">
      <w:pPr>
        <w:pBdr>
          <w:top w:val="nil"/>
          <w:left w:val="nil"/>
          <w:bottom w:val="nil"/>
          <w:right w:val="nil"/>
          <w:between w:val="nil"/>
        </w:pBdr>
        <w:spacing w:line="360" w:lineRule="auto"/>
        <w:ind w:left="720"/>
        <w:jc w:val="both"/>
      </w:pPr>
    </w:p>
    <w:p w:rsidR="002355F1" w:rsidRDefault="005A478B" w:rsidP="00D936C4">
      <w:pPr>
        <w:pBdr>
          <w:top w:val="nil"/>
          <w:left w:val="nil"/>
          <w:bottom w:val="nil"/>
          <w:right w:val="nil"/>
          <w:between w:val="nil"/>
        </w:pBdr>
        <w:spacing w:line="360" w:lineRule="auto"/>
        <w:ind w:left="720"/>
        <w:jc w:val="both"/>
        <w:rPr>
          <w:color w:val="000000"/>
        </w:rPr>
      </w:pPr>
      <w:r>
        <w:rPr>
          <w:color w:val="000000"/>
        </w:rPr>
        <w:t xml:space="preserve">Considerando la discusión del proyecto de concentraciones en la actualidad, sería importante que se recoja la necesidad de claridad en el tipo infractor para evitar interpretaciones que terminen reduciendo la potestad sancionadora del Indecopi y que, por tanto, las autoridades en control de concentraciones vean reducida la protección a dicho control. </w:t>
      </w:r>
    </w:p>
    <w:p w:rsidR="002355F1" w:rsidRDefault="002355F1" w:rsidP="00D936C4">
      <w:pPr>
        <w:spacing w:line="360" w:lineRule="auto"/>
        <w:jc w:val="both"/>
        <w:rPr>
          <w:color w:val="000000"/>
        </w:rPr>
      </w:pPr>
    </w:p>
    <w:p w:rsidR="002355F1" w:rsidRDefault="005A478B" w:rsidP="00D936C4">
      <w:pPr>
        <w:numPr>
          <w:ilvl w:val="0"/>
          <w:numId w:val="20"/>
        </w:numPr>
        <w:pBdr>
          <w:top w:val="nil"/>
          <w:left w:val="nil"/>
          <w:bottom w:val="nil"/>
          <w:right w:val="nil"/>
          <w:between w:val="nil"/>
        </w:pBdr>
        <w:spacing w:line="360" w:lineRule="auto"/>
        <w:jc w:val="both"/>
        <w:rPr>
          <w:color w:val="000000"/>
        </w:rPr>
      </w:pPr>
      <w:r>
        <w:rPr>
          <w:color w:val="000000"/>
        </w:rPr>
        <w:t xml:space="preserve">Sobre el fenómeno del gun jumping o adelantarse a la autoridad, </w:t>
      </w:r>
      <w:r w:rsidR="0052349E">
        <w:rPr>
          <w:color w:val="000000"/>
        </w:rPr>
        <w:t>es posición de la autora del Informe</w:t>
      </w:r>
      <w:r>
        <w:rPr>
          <w:color w:val="000000"/>
        </w:rPr>
        <w:t xml:space="preserve"> que la autoridad </w:t>
      </w:r>
      <w:r w:rsidR="0052349E">
        <w:rPr>
          <w:color w:val="000000"/>
        </w:rPr>
        <w:t>realice</w:t>
      </w:r>
      <w:r>
        <w:rPr>
          <w:color w:val="000000"/>
        </w:rPr>
        <w:t xml:space="preserve"> un estudio </w:t>
      </w:r>
      <w:r w:rsidR="0052349E">
        <w:rPr>
          <w:color w:val="000000"/>
        </w:rPr>
        <w:t>“</w:t>
      </w:r>
      <w:r>
        <w:rPr>
          <w:color w:val="000000"/>
        </w:rPr>
        <w:t>caso por caso</w:t>
      </w:r>
      <w:r w:rsidR="0052349E">
        <w:rPr>
          <w:color w:val="000000"/>
        </w:rPr>
        <w:t>”</w:t>
      </w:r>
      <w:r>
        <w:rPr>
          <w:color w:val="000000"/>
        </w:rPr>
        <w:t>. Del caso analizado, s</w:t>
      </w:r>
      <w:r>
        <w:t>e observa que se configuró un cambio de control en la estructura de Endesa sin autorización de la Comisión, lo cual es una infracción. Sin embargo,</w:t>
      </w:r>
      <w:r w:rsidR="0052349E">
        <w:t xml:space="preserve"> la controversia </w:t>
      </w:r>
      <w:r>
        <w:t xml:space="preserve">involucra un elemento adicional como </w:t>
      </w:r>
      <w:r w:rsidR="0052349E">
        <w:t>son</w:t>
      </w:r>
      <w:r>
        <w:t xml:space="preserve"> las medidas de dispensa de la obligación de suspensión, la cual, conforme a la propuesta de este Informe, pudo ser </w:t>
      </w:r>
      <w:r w:rsidR="0052349E">
        <w:t>objeto de un análisis más riguroso por parte de la autoridad</w:t>
      </w:r>
      <w:r>
        <w:t xml:space="preserve">. Los criterios propuestos desde este Informe son la oportunidad y suficiencia de la medida. </w:t>
      </w:r>
    </w:p>
    <w:p w:rsidR="002355F1" w:rsidRDefault="002355F1" w:rsidP="00D936C4">
      <w:pPr>
        <w:pBdr>
          <w:top w:val="nil"/>
          <w:left w:val="nil"/>
          <w:bottom w:val="nil"/>
          <w:right w:val="nil"/>
          <w:between w:val="nil"/>
        </w:pBdr>
        <w:spacing w:line="360" w:lineRule="auto"/>
        <w:ind w:left="720"/>
        <w:jc w:val="both"/>
      </w:pPr>
    </w:p>
    <w:p w:rsidR="002355F1" w:rsidRDefault="005A478B" w:rsidP="00D936C4">
      <w:pPr>
        <w:pBdr>
          <w:top w:val="nil"/>
          <w:left w:val="nil"/>
          <w:bottom w:val="nil"/>
          <w:right w:val="nil"/>
          <w:between w:val="nil"/>
        </w:pBdr>
        <w:spacing w:line="360" w:lineRule="auto"/>
        <w:ind w:left="720"/>
        <w:jc w:val="both"/>
        <w:rPr>
          <w:color w:val="000000"/>
        </w:rPr>
      </w:pPr>
      <w:r>
        <w:lastRenderedPageBreak/>
        <w:t>Ahora, sobre un</w:t>
      </w:r>
      <w:r>
        <w:rPr>
          <w:color w:val="000000"/>
        </w:rPr>
        <w:t xml:space="preserve">a adopción de Lineamientos en el adelantamiento a la autoridad, </w:t>
      </w:r>
      <w:r>
        <w:t>desde la posición del Informe</w:t>
      </w:r>
      <w:r>
        <w:rPr>
          <w:color w:val="000000"/>
        </w:rPr>
        <w:t xml:space="preserve">, no correspondería en tanto cada operación demanda distintos niveles de interacción, los cuales no podrían ser tasados con el propósito de establecer una conducta como infracción. Lo fundamental es observar el cambio en la estructura de control y que este sea manifestado por la autoridad en las resoluciones de sanción correspondiente. </w:t>
      </w:r>
    </w:p>
    <w:p w:rsidR="002355F1" w:rsidRDefault="002355F1" w:rsidP="00D936C4">
      <w:pPr>
        <w:pBdr>
          <w:top w:val="nil"/>
          <w:left w:val="nil"/>
          <w:bottom w:val="nil"/>
          <w:right w:val="nil"/>
          <w:between w:val="nil"/>
        </w:pBdr>
        <w:spacing w:line="360" w:lineRule="auto"/>
        <w:jc w:val="both"/>
      </w:pPr>
    </w:p>
    <w:p w:rsidR="002355F1" w:rsidRDefault="005A478B" w:rsidP="00D936C4">
      <w:pPr>
        <w:numPr>
          <w:ilvl w:val="0"/>
          <w:numId w:val="20"/>
        </w:numPr>
        <w:pBdr>
          <w:top w:val="nil"/>
          <w:left w:val="nil"/>
          <w:bottom w:val="nil"/>
          <w:right w:val="nil"/>
          <w:between w:val="nil"/>
        </w:pBdr>
        <w:spacing w:line="360" w:lineRule="auto"/>
        <w:jc w:val="both"/>
        <w:rPr>
          <w:color w:val="000000"/>
        </w:rPr>
      </w:pPr>
      <w:r>
        <w:rPr>
          <w:color w:val="000000"/>
        </w:rPr>
        <w:t xml:space="preserve">Finalmente, </w:t>
      </w:r>
      <w:r>
        <w:t>respecto a la omisión de los criterios de graduación en la primera instancia del caso Enel</w:t>
      </w:r>
      <w:r>
        <w:rPr>
          <w:color w:val="000000"/>
        </w:rPr>
        <w:t>, se reconoce que la</w:t>
      </w:r>
      <w:r>
        <w:t xml:space="preserve"> </w:t>
      </w:r>
      <w:r>
        <w:rPr>
          <w:color w:val="000000"/>
        </w:rPr>
        <w:t>autoridad</w:t>
      </w:r>
      <w:r>
        <w:t xml:space="preserve"> puede, en uso de su potestad sancionadora, decidir una sanción que sea un efectivo desincentivo y evite que no resulte más ventajoso la omisión de las normas o asumir la sanción. No obstante, los criterios de graduación son fundamentales para</w:t>
      </w:r>
      <w:r>
        <w:rPr>
          <w:color w:val="000000"/>
        </w:rPr>
        <w:t xml:space="preserve"> evitar exceso de punición</w:t>
      </w:r>
      <w:r>
        <w:t xml:space="preserve"> </w:t>
      </w:r>
      <w:r>
        <w:rPr>
          <w:color w:val="000000"/>
        </w:rPr>
        <w:t>e incluso infrapunición</w:t>
      </w:r>
      <w:r>
        <w:t xml:space="preserve"> y debe la manifestación de la potestad sancionadora ser proporcional al incumplimiento. </w:t>
      </w:r>
    </w:p>
    <w:p w:rsidR="002355F1" w:rsidRDefault="002355F1" w:rsidP="00D936C4">
      <w:pPr>
        <w:spacing w:line="360" w:lineRule="auto"/>
        <w:jc w:val="both"/>
        <w:rPr>
          <w:color w:val="000000"/>
        </w:rPr>
      </w:pPr>
    </w:p>
    <w:p w:rsidR="002355F1" w:rsidRDefault="000906A7" w:rsidP="00D936C4">
      <w:pPr>
        <w:spacing w:line="360" w:lineRule="auto"/>
        <w:jc w:val="both"/>
        <w:rPr>
          <w:color w:val="000000"/>
        </w:rPr>
      </w:pPr>
      <w:r>
        <w:rPr>
          <w:color w:val="000000"/>
        </w:rPr>
        <w:t>De forma detallada, este</w:t>
      </w:r>
      <w:r w:rsidR="0029128D">
        <w:rPr>
          <w:color w:val="000000"/>
        </w:rPr>
        <w:t xml:space="preserve"> Informe </w:t>
      </w:r>
      <w:r>
        <w:rPr>
          <w:color w:val="000000"/>
        </w:rPr>
        <w:t>ha planteado, tanto</w:t>
      </w:r>
      <w:r w:rsidR="005A478B">
        <w:rPr>
          <w:color w:val="000000"/>
        </w:rPr>
        <w:t xml:space="preserve"> desde la perspectiva del procedimiento sancionador como el de autorización</w:t>
      </w:r>
      <w:r>
        <w:rPr>
          <w:color w:val="000000"/>
        </w:rPr>
        <w:t xml:space="preserve"> previa, un análisis de los criterios de las autoridades de competencia así como propuestas de renovación</w:t>
      </w:r>
      <w:r w:rsidR="005A478B">
        <w:rPr>
          <w:color w:val="000000"/>
        </w:rPr>
        <w:t xml:space="preserve">. </w:t>
      </w:r>
      <w:r>
        <w:rPr>
          <w:color w:val="000000"/>
        </w:rPr>
        <w:t>Sobre este último punto, l</w:t>
      </w:r>
      <w:r w:rsidR="005A478B">
        <w:rPr>
          <w:color w:val="000000"/>
        </w:rPr>
        <w:t xml:space="preserve">as propuestas han sido expuestas en una línea que continúen resguardando el control de concentraciones como parte de la política de competencia. </w:t>
      </w:r>
    </w:p>
    <w:p w:rsidR="002355F1" w:rsidRDefault="002355F1" w:rsidP="00D936C4">
      <w:pPr>
        <w:spacing w:line="360" w:lineRule="auto"/>
        <w:jc w:val="both"/>
        <w:rPr>
          <w:color w:val="000000"/>
        </w:rPr>
      </w:pPr>
    </w:p>
    <w:p w:rsidR="002355F1" w:rsidRDefault="000906A7" w:rsidP="00D936C4">
      <w:pPr>
        <w:spacing w:line="360" w:lineRule="auto"/>
        <w:jc w:val="both"/>
      </w:pPr>
      <w:r>
        <w:t>Es</w:t>
      </w:r>
      <w:r w:rsidR="005A478B">
        <w:t xml:space="preserve"> </w:t>
      </w:r>
      <w:r w:rsidR="005A478B">
        <w:rPr>
          <w:color w:val="000000"/>
        </w:rPr>
        <w:t xml:space="preserve">posición de </w:t>
      </w:r>
      <w:r>
        <w:rPr>
          <w:color w:val="000000"/>
        </w:rPr>
        <w:t xml:space="preserve">la autora de </w:t>
      </w:r>
      <w:r w:rsidR="005A478B">
        <w:rPr>
          <w:color w:val="000000"/>
        </w:rPr>
        <w:t xml:space="preserve">este Informe </w:t>
      </w:r>
      <w:r>
        <w:rPr>
          <w:color w:val="000000"/>
        </w:rPr>
        <w:t>expresar</w:t>
      </w:r>
      <w:r w:rsidR="005A478B">
        <w:rPr>
          <w:color w:val="000000"/>
        </w:rPr>
        <w:t xml:space="preserve"> que el control de concentraciones, con las falencias que pueda tener cualquier procedimiento de autorización, es una herramienta conveniente si</w:t>
      </w:r>
      <w:r>
        <w:rPr>
          <w:color w:val="000000"/>
        </w:rPr>
        <w:t xml:space="preserve"> es que la misma</w:t>
      </w:r>
      <w:r w:rsidR="005A478B">
        <w:rPr>
          <w:color w:val="000000"/>
        </w:rPr>
        <w:t xml:space="preserve"> es dirigida </w:t>
      </w:r>
      <w:r>
        <w:rPr>
          <w:color w:val="000000"/>
        </w:rPr>
        <w:t xml:space="preserve">hacia </w:t>
      </w:r>
      <w:r w:rsidR="005A478B">
        <w:rPr>
          <w:color w:val="000000"/>
        </w:rPr>
        <w:t>grandes operaciones que pued</w:t>
      </w:r>
      <w:r>
        <w:rPr>
          <w:color w:val="000000"/>
        </w:rPr>
        <w:t>a</w:t>
      </w:r>
      <w:r w:rsidR="005A478B">
        <w:rPr>
          <w:color w:val="000000"/>
        </w:rPr>
        <w:t>n, en definitiva, incidir en la dinámica competitiva del país.</w:t>
      </w:r>
      <w:r w:rsidR="005A478B">
        <w:t xml:space="preserve"> </w:t>
      </w:r>
      <w:r>
        <w:t>Dentro de este marco</w:t>
      </w:r>
      <w:r w:rsidR="005A478B">
        <w:t>, e</w:t>
      </w:r>
      <w:r>
        <w:t>s importante que el</w:t>
      </w:r>
      <w:r w:rsidR="005A478B">
        <w:t xml:space="preserve"> procedimiento de autorización dirigido a la vigilancia de la competencia </w:t>
      </w:r>
      <w:r>
        <w:t>encuentre en</w:t>
      </w:r>
      <w:r w:rsidR="005A478B">
        <w:t xml:space="preserve"> el procedimiento administrativo sancionador un apoyo fundamental para la protección a cabalidad del régimen. Este procedimiento administrativo sancionador, sin perjuicio del objetivo constitucional que lo motiva, debe reconocer el respeto de las garantías fundamentales de los administrados.</w:t>
      </w:r>
    </w:p>
    <w:p w:rsidR="000906A7" w:rsidRDefault="000906A7" w:rsidP="00D936C4">
      <w:pPr>
        <w:spacing w:line="360" w:lineRule="auto"/>
        <w:jc w:val="both"/>
        <w:rPr>
          <w:color w:val="000000"/>
        </w:rPr>
      </w:pPr>
    </w:p>
    <w:p w:rsidR="000906A7" w:rsidRDefault="000906A7" w:rsidP="00D936C4">
      <w:pPr>
        <w:spacing w:line="360" w:lineRule="auto"/>
        <w:jc w:val="both"/>
        <w:rPr>
          <w:color w:val="000000"/>
        </w:rPr>
      </w:pPr>
      <w:r>
        <w:rPr>
          <w:color w:val="000000"/>
        </w:rPr>
        <w:lastRenderedPageBreak/>
        <w:t xml:space="preserve">Así como el control de estructuras es reconocido como una herramienta de la política de competencia complementaria al control de conductas, ha sido objetivo de este Informe demostrar que dicha complementariedad también es observable en su relación con el ámbito sancionador. Dicho en otras palabras, es igual de trascendental garantizar desde el régimen sancionador la protección y vigencia del control previo. </w:t>
      </w:r>
    </w:p>
    <w:p w:rsidR="002355F1" w:rsidRDefault="005A478B" w:rsidP="00123ED2">
      <w:pPr>
        <w:pStyle w:val="Ttulo2"/>
        <w:numPr>
          <w:ilvl w:val="0"/>
          <w:numId w:val="3"/>
        </w:numPr>
        <w:spacing w:line="360" w:lineRule="auto"/>
        <w:rPr>
          <w:sz w:val="24"/>
          <w:szCs w:val="24"/>
        </w:rPr>
      </w:pPr>
      <w:bookmarkStart w:id="51" w:name="_Toc47387758"/>
      <w:r>
        <w:rPr>
          <w:sz w:val="24"/>
          <w:szCs w:val="24"/>
        </w:rPr>
        <w:t>Bibliografía</w:t>
      </w:r>
      <w:bookmarkEnd w:id="51"/>
    </w:p>
    <w:p w:rsidR="002355F1" w:rsidRDefault="002355F1" w:rsidP="00D936C4">
      <w:pPr>
        <w:spacing w:line="360" w:lineRule="auto"/>
      </w:pPr>
    </w:p>
    <w:p w:rsidR="00CC37BB" w:rsidRPr="00047B4E" w:rsidRDefault="005A478B" w:rsidP="00D936C4">
      <w:pPr>
        <w:pBdr>
          <w:top w:val="nil"/>
          <w:left w:val="nil"/>
          <w:bottom w:val="nil"/>
          <w:right w:val="nil"/>
          <w:between w:val="nil"/>
        </w:pBdr>
        <w:spacing w:line="360" w:lineRule="auto"/>
        <w:jc w:val="both"/>
        <w:rPr>
          <w:color w:val="000000" w:themeColor="text1"/>
        </w:rPr>
      </w:pPr>
      <w:r w:rsidRPr="00047B4E">
        <w:rPr>
          <w:color w:val="000000" w:themeColor="text1"/>
        </w:rPr>
        <w:t>BACA ONETO, Víctor</w:t>
      </w:r>
    </w:p>
    <w:p w:rsidR="002355F1" w:rsidRPr="00047B4E" w:rsidRDefault="005A478B" w:rsidP="00D936C4">
      <w:pPr>
        <w:pBdr>
          <w:top w:val="nil"/>
          <w:left w:val="nil"/>
          <w:bottom w:val="nil"/>
          <w:right w:val="nil"/>
          <w:between w:val="nil"/>
        </w:pBdr>
        <w:spacing w:line="360" w:lineRule="auto"/>
        <w:ind w:left="720" w:hanging="720"/>
        <w:jc w:val="both"/>
        <w:rPr>
          <w:color w:val="000000" w:themeColor="text1"/>
        </w:rPr>
      </w:pPr>
      <w:r w:rsidRPr="00047B4E">
        <w:rPr>
          <w:color w:val="000000" w:themeColor="text1"/>
        </w:rPr>
        <w:t>2010</w:t>
      </w:r>
      <w:r w:rsidRPr="00047B4E">
        <w:rPr>
          <w:color w:val="000000" w:themeColor="text1"/>
        </w:rPr>
        <w:tab/>
        <w:t>¿Responsabilidad subjetiva u objetiva en materia sancionadora? Una propuesta de respuesta a partir del ordenamiento peruano. Texto de la ponencia que fue presentada al IV Congreso Internacional de Derecho administrativo realizado en Mendoza, Argentina, los días 15, 16 y 17 de septiembre de 2010. Disponible en &lt;</w:t>
      </w:r>
      <w:hyperlink r:id="rId20">
        <w:r w:rsidRPr="00047B4E">
          <w:rPr>
            <w:color w:val="000000" w:themeColor="text1"/>
          </w:rPr>
          <w:t>https://www.mpfn.gob.pe/escuela/contenido/actividades/docs/2271_responsabilidad_subjetiva_u_objetiva_en_materia_sancionadora.pd</w:t>
        </w:r>
      </w:hyperlink>
      <w:hyperlink r:id="rId21">
        <w:r w:rsidRPr="00047B4E">
          <w:rPr>
            <w:color w:val="000000" w:themeColor="text1"/>
            <w:u w:val="single"/>
          </w:rPr>
          <w:t>f</w:t>
        </w:r>
      </w:hyperlink>
      <w:r w:rsidRPr="00047B4E">
        <w:rPr>
          <w:color w:val="000000" w:themeColor="text1"/>
        </w:rPr>
        <w:t xml:space="preserve">&gt; </w:t>
      </w:r>
    </w:p>
    <w:p w:rsidR="002355F1" w:rsidRPr="00047B4E" w:rsidRDefault="002355F1" w:rsidP="00D936C4">
      <w:pPr>
        <w:pBdr>
          <w:top w:val="nil"/>
          <w:left w:val="nil"/>
          <w:bottom w:val="nil"/>
          <w:right w:val="nil"/>
          <w:between w:val="nil"/>
        </w:pBdr>
        <w:spacing w:line="360" w:lineRule="auto"/>
        <w:jc w:val="both"/>
        <w:rPr>
          <w:color w:val="000000" w:themeColor="text1"/>
        </w:rPr>
      </w:pPr>
    </w:p>
    <w:p w:rsidR="00CC37BB" w:rsidRPr="00047B4E" w:rsidRDefault="005A478B" w:rsidP="00D936C4">
      <w:pPr>
        <w:pBdr>
          <w:top w:val="nil"/>
          <w:left w:val="nil"/>
          <w:bottom w:val="nil"/>
          <w:right w:val="nil"/>
          <w:between w:val="nil"/>
        </w:pBdr>
        <w:spacing w:line="360" w:lineRule="auto"/>
        <w:jc w:val="both"/>
        <w:rPr>
          <w:color w:val="000000" w:themeColor="text1"/>
        </w:rPr>
      </w:pPr>
      <w:r w:rsidRPr="00047B4E">
        <w:rPr>
          <w:color w:val="000000" w:themeColor="text1"/>
        </w:rPr>
        <w:t>BAÑO LEÓN, José María</w:t>
      </w:r>
    </w:p>
    <w:p w:rsidR="002355F1" w:rsidRPr="00047B4E" w:rsidRDefault="005A478B" w:rsidP="00D936C4">
      <w:pPr>
        <w:pBdr>
          <w:top w:val="nil"/>
          <w:left w:val="nil"/>
          <w:bottom w:val="nil"/>
          <w:right w:val="nil"/>
          <w:between w:val="nil"/>
        </w:pBdr>
        <w:spacing w:line="360" w:lineRule="auto"/>
        <w:jc w:val="both"/>
        <w:rPr>
          <w:color w:val="000000" w:themeColor="text1"/>
        </w:rPr>
      </w:pPr>
      <w:r w:rsidRPr="00047B4E">
        <w:rPr>
          <w:color w:val="000000" w:themeColor="text1"/>
        </w:rPr>
        <w:t>2016</w:t>
      </w:r>
      <w:r w:rsidRPr="00047B4E">
        <w:rPr>
          <w:color w:val="000000" w:themeColor="text1"/>
        </w:rPr>
        <w:tab/>
        <w:t xml:space="preserve">La evolución del derecho de la competencia y su irradiación en el derecho </w:t>
      </w:r>
    </w:p>
    <w:p w:rsidR="002355F1" w:rsidRPr="00047B4E" w:rsidRDefault="005A478B" w:rsidP="00D936C4">
      <w:pPr>
        <w:pBdr>
          <w:top w:val="nil"/>
          <w:left w:val="nil"/>
          <w:bottom w:val="nil"/>
          <w:right w:val="nil"/>
          <w:between w:val="nil"/>
        </w:pBdr>
        <w:spacing w:line="360" w:lineRule="auto"/>
        <w:ind w:left="720"/>
        <w:jc w:val="both"/>
        <w:rPr>
          <w:b/>
          <w:color w:val="000000" w:themeColor="text1"/>
          <w:shd w:val="clear" w:color="auto" w:fill="EEEEEE"/>
        </w:rPr>
      </w:pPr>
      <w:r w:rsidRPr="00047B4E">
        <w:rPr>
          <w:color w:val="000000" w:themeColor="text1"/>
        </w:rPr>
        <w:t xml:space="preserve">público. Disponible en </w:t>
      </w:r>
      <w:hyperlink r:id="rId22">
        <w:r w:rsidRPr="00047B4E">
          <w:rPr>
            <w:color w:val="000000" w:themeColor="text1"/>
          </w:rPr>
          <w:t>Revista de Administración Pública</w:t>
        </w:r>
      </w:hyperlink>
      <w:r w:rsidRPr="00047B4E">
        <w:rPr>
          <w:color w:val="000000" w:themeColor="text1"/>
        </w:rPr>
        <w:t xml:space="preserve">, </w:t>
      </w:r>
      <w:hyperlink r:id="rId23">
        <w:r w:rsidRPr="00047B4E">
          <w:rPr>
            <w:color w:val="000000" w:themeColor="text1"/>
          </w:rPr>
          <w:t xml:space="preserve">número 200, Mayo/Agosto </w:t>
        </w:r>
      </w:hyperlink>
      <w:r w:rsidRPr="00047B4E">
        <w:rPr>
          <w:color w:val="000000" w:themeColor="text1"/>
        </w:rPr>
        <w:fldChar w:fldCharType="begin"/>
      </w:r>
      <w:r w:rsidRPr="00047B4E">
        <w:rPr>
          <w:color w:val="000000" w:themeColor="text1"/>
        </w:rPr>
        <w:instrText xml:space="preserve"> HYPERLINK "http://www.cepc.gob.es/publicaciones/revistas/revistaselectronicas?IDR=1&amp;IDN=1364" </w:instrText>
      </w:r>
      <w:r w:rsidRPr="00047B4E">
        <w:rPr>
          <w:color w:val="000000" w:themeColor="text1"/>
        </w:rPr>
        <w:fldChar w:fldCharType="separate"/>
      </w:r>
    </w:p>
    <w:p w:rsidR="002355F1" w:rsidRPr="00047B4E" w:rsidRDefault="005A478B" w:rsidP="00D936C4">
      <w:pPr>
        <w:pBdr>
          <w:top w:val="nil"/>
          <w:left w:val="nil"/>
          <w:bottom w:val="nil"/>
          <w:right w:val="nil"/>
          <w:between w:val="nil"/>
        </w:pBdr>
        <w:spacing w:line="360" w:lineRule="auto"/>
        <w:jc w:val="both"/>
        <w:rPr>
          <w:color w:val="000000" w:themeColor="text1"/>
        </w:rPr>
      </w:pPr>
      <w:r w:rsidRPr="00047B4E">
        <w:rPr>
          <w:color w:val="000000" w:themeColor="text1"/>
        </w:rPr>
        <w:fldChar w:fldCharType="end"/>
      </w:r>
    </w:p>
    <w:p w:rsidR="002355F1" w:rsidRPr="00047B4E" w:rsidRDefault="005A478B" w:rsidP="00D936C4">
      <w:pPr>
        <w:spacing w:line="360" w:lineRule="auto"/>
        <w:jc w:val="both"/>
        <w:rPr>
          <w:color w:val="000000" w:themeColor="text1"/>
        </w:rPr>
      </w:pPr>
      <w:r w:rsidRPr="00047B4E">
        <w:rPr>
          <w:color w:val="000000" w:themeColor="text1"/>
        </w:rPr>
        <w:t xml:space="preserve">BECKER, Gary. </w:t>
      </w:r>
    </w:p>
    <w:p w:rsidR="002355F1" w:rsidRPr="00047B4E" w:rsidRDefault="005A478B" w:rsidP="00D936C4">
      <w:pPr>
        <w:spacing w:line="360" w:lineRule="auto"/>
        <w:ind w:left="720" w:hanging="720"/>
        <w:jc w:val="both"/>
        <w:rPr>
          <w:color w:val="000000" w:themeColor="text1"/>
        </w:rPr>
      </w:pPr>
      <w:r w:rsidRPr="00047B4E">
        <w:rPr>
          <w:color w:val="000000" w:themeColor="text1"/>
        </w:rPr>
        <w:t>2002</w:t>
      </w:r>
      <w:r w:rsidRPr="00047B4E">
        <w:rPr>
          <w:color w:val="000000" w:themeColor="text1"/>
        </w:rPr>
        <w:tab/>
        <w:t>Crimen y Castigo: Un enfoque Económico. Extraído de Derecho y Economía: Una revisión de la literatura. Andrés Roemer (Compilador), Fondo de Cultura Económica, México, Primera Reimpresión 2002.</w:t>
      </w:r>
    </w:p>
    <w:p w:rsidR="00CC37BB" w:rsidRPr="00047B4E" w:rsidRDefault="00CC37BB" w:rsidP="00D936C4">
      <w:pPr>
        <w:pBdr>
          <w:top w:val="nil"/>
          <w:left w:val="nil"/>
          <w:bottom w:val="nil"/>
          <w:right w:val="nil"/>
          <w:between w:val="nil"/>
        </w:pBdr>
        <w:spacing w:line="360" w:lineRule="auto"/>
        <w:jc w:val="both"/>
        <w:rPr>
          <w:color w:val="000000" w:themeColor="text1"/>
        </w:rPr>
      </w:pPr>
    </w:p>
    <w:p w:rsidR="00CC37BB" w:rsidRPr="00047B4E" w:rsidRDefault="005A478B" w:rsidP="00D936C4">
      <w:pPr>
        <w:pBdr>
          <w:top w:val="nil"/>
          <w:left w:val="nil"/>
          <w:bottom w:val="nil"/>
          <w:right w:val="nil"/>
          <w:between w:val="nil"/>
        </w:pBdr>
        <w:spacing w:line="360" w:lineRule="auto"/>
        <w:jc w:val="both"/>
        <w:rPr>
          <w:color w:val="000000" w:themeColor="text1"/>
        </w:rPr>
      </w:pPr>
      <w:r w:rsidRPr="00047B4E">
        <w:rPr>
          <w:color w:val="000000" w:themeColor="text1"/>
        </w:rPr>
        <w:t xml:space="preserve">BERENGUER FUSTER, L. </w:t>
      </w:r>
    </w:p>
    <w:p w:rsidR="002355F1" w:rsidRPr="00047B4E" w:rsidRDefault="005A478B" w:rsidP="00D936C4">
      <w:pPr>
        <w:pBdr>
          <w:top w:val="nil"/>
          <w:left w:val="nil"/>
          <w:bottom w:val="nil"/>
          <w:right w:val="nil"/>
          <w:between w:val="nil"/>
        </w:pBdr>
        <w:spacing w:line="360" w:lineRule="auto"/>
        <w:ind w:left="720" w:hanging="720"/>
        <w:jc w:val="both"/>
        <w:rPr>
          <w:color w:val="000000" w:themeColor="text1"/>
        </w:rPr>
      </w:pPr>
      <w:r w:rsidRPr="00047B4E">
        <w:rPr>
          <w:color w:val="000000" w:themeColor="text1"/>
        </w:rPr>
        <w:t>2004</w:t>
      </w:r>
      <w:r w:rsidRPr="00047B4E">
        <w:rPr>
          <w:color w:val="000000" w:themeColor="text1"/>
        </w:rPr>
        <w:tab/>
        <w:t>«Comentarios críticos acerca del nuevo reglamento comunitario de concentraciones», en Anuario de la competencia, núm.1, 2004.</w:t>
      </w:r>
    </w:p>
    <w:p w:rsidR="002355F1" w:rsidRPr="00047B4E" w:rsidRDefault="002355F1" w:rsidP="00D936C4">
      <w:pPr>
        <w:pBdr>
          <w:top w:val="nil"/>
          <w:left w:val="nil"/>
          <w:bottom w:val="nil"/>
          <w:right w:val="nil"/>
          <w:between w:val="nil"/>
        </w:pBdr>
        <w:spacing w:line="360" w:lineRule="auto"/>
        <w:jc w:val="both"/>
        <w:rPr>
          <w:color w:val="000000" w:themeColor="text1"/>
        </w:rPr>
      </w:pPr>
    </w:p>
    <w:p w:rsidR="00CC37BB" w:rsidRPr="00047B4E" w:rsidRDefault="005A478B" w:rsidP="00D936C4">
      <w:pPr>
        <w:pBdr>
          <w:top w:val="nil"/>
          <w:left w:val="nil"/>
          <w:bottom w:val="nil"/>
          <w:right w:val="nil"/>
          <w:between w:val="nil"/>
        </w:pBdr>
        <w:spacing w:line="360" w:lineRule="auto"/>
        <w:jc w:val="both"/>
        <w:rPr>
          <w:color w:val="000000" w:themeColor="text1"/>
          <w:lang w:val="en-US"/>
        </w:rPr>
      </w:pPr>
      <w:r w:rsidRPr="00047B4E">
        <w:rPr>
          <w:color w:val="000000" w:themeColor="text1"/>
          <w:lang w:val="en-US"/>
        </w:rPr>
        <w:t>BLUMENTHAL, William</w:t>
      </w:r>
    </w:p>
    <w:p w:rsidR="002355F1" w:rsidRPr="00047B4E" w:rsidRDefault="005A478B" w:rsidP="00D936C4">
      <w:pPr>
        <w:pBdr>
          <w:top w:val="nil"/>
          <w:left w:val="nil"/>
          <w:bottom w:val="nil"/>
          <w:right w:val="nil"/>
          <w:between w:val="nil"/>
        </w:pBdr>
        <w:spacing w:line="360" w:lineRule="auto"/>
        <w:ind w:left="709" w:hanging="709"/>
        <w:jc w:val="both"/>
        <w:rPr>
          <w:color w:val="000000" w:themeColor="text1"/>
          <w:lang w:val="en-US"/>
        </w:rPr>
      </w:pPr>
      <w:r w:rsidRPr="00047B4E">
        <w:rPr>
          <w:color w:val="000000" w:themeColor="text1"/>
          <w:lang w:val="en-US"/>
        </w:rPr>
        <w:lastRenderedPageBreak/>
        <w:t>2005</w:t>
      </w:r>
      <w:r w:rsidR="00CC37BB" w:rsidRPr="00047B4E">
        <w:rPr>
          <w:color w:val="000000" w:themeColor="text1"/>
          <w:lang w:val="en-US"/>
        </w:rPr>
        <w:tab/>
      </w:r>
      <w:r w:rsidRPr="00047B4E">
        <w:rPr>
          <w:color w:val="000000" w:themeColor="text1"/>
          <w:lang w:val="en-US"/>
        </w:rPr>
        <w:t>The Rhetoric of Gun-Jumping. Versión escrita de la ponencia en “Annual Antitrust Seminar of the Greater New York Chapter of the Association of Corporate Counsel”, Nueva York.</w:t>
      </w:r>
    </w:p>
    <w:p w:rsidR="002355F1" w:rsidRPr="00047B4E" w:rsidRDefault="002355F1" w:rsidP="00D936C4">
      <w:pPr>
        <w:spacing w:line="360" w:lineRule="auto"/>
        <w:jc w:val="both"/>
        <w:rPr>
          <w:color w:val="000000" w:themeColor="text1"/>
          <w:lang w:val="en-US"/>
        </w:rPr>
      </w:pPr>
    </w:p>
    <w:p w:rsidR="00BB2214" w:rsidRDefault="00BB2214" w:rsidP="00D936C4">
      <w:pPr>
        <w:spacing w:line="360" w:lineRule="auto"/>
        <w:jc w:val="both"/>
        <w:rPr>
          <w:color w:val="000000" w:themeColor="text1"/>
        </w:rPr>
      </w:pPr>
      <w:r>
        <w:rPr>
          <w:color w:val="000000" w:themeColor="text1"/>
        </w:rPr>
        <w:t>Comisión de Defensa de la Libre Competencia – Indecopi</w:t>
      </w:r>
    </w:p>
    <w:p w:rsidR="00BB2214" w:rsidRPr="00872443" w:rsidRDefault="00872443" w:rsidP="00D936C4">
      <w:pPr>
        <w:spacing w:line="360" w:lineRule="auto"/>
        <w:jc w:val="both"/>
        <w:rPr>
          <w:color w:val="000000" w:themeColor="text1"/>
        </w:rPr>
      </w:pPr>
      <w:r>
        <w:rPr>
          <w:color w:val="000000" w:themeColor="text1"/>
        </w:rPr>
        <w:t>1999</w:t>
      </w:r>
      <w:r>
        <w:rPr>
          <w:color w:val="000000" w:themeColor="text1"/>
        </w:rPr>
        <w:tab/>
        <w:t xml:space="preserve">Resolución 012-99-CLC/INDECOPI. </w:t>
      </w:r>
      <w:r>
        <w:rPr>
          <w:i/>
          <w:iCs/>
          <w:color w:val="000000" w:themeColor="text1"/>
        </w:rPr>
        <w:t>Caso Enersis.</w:t>
      </w:r>
    </w:p>
    <w:p w:rsidR="00BB2214" w:rsidRDefault="00BB2214" w:rsidP="00D936C4">
      <w:pPr>
        <w:spacing w:line="360" w:lineRule="auto"/>
        <w:jc w:val="both"/>
        <w:rPr>
          <w:color w:val="000000" w:themeColor="text1"/>
        </w:rPr>
      </w:pPr>
    </w:p>
    <w:p w:rsidR="00BB2214" w:rsidRDefault="00BB2214" w:rsidP="00D936C4">
      <w:pPr>
        <w:spacing w:line="360" w:lineRule="auto"/>
        <w:jc w:val="both"/>
        <w:rPr>
          <w:color w:val="000000" w:themeColor="text1"/>
        </w:rPr>
      </w:pPr>
      <w:r>
        <w:rPr>
          <w:color w:val="000000" w:themeColor="text1"/>
        </w:rPr>
        <w:t>Comisión Federal de Competencia Económica – México</w:t>
      </w:r>
    </w:p>
    <w:p w:rsidR="00BB2214" w:rsidRDefault="00BB2214" w:rsidP="00D936C4">
      <w:pPr>
        <w:spacing w:line="360" w:lineRule="auto"/>
        <w:jc w:val="both"/>
        <w:rPr>
          <w:color w:val="000000" w:themeColor="text1"/>
        </w:rPr>
      </w:pPr>
      <w:r>
        <w:rPr>
          <w:color w:val="000000" w:themeColor="text1"/>
        </w:rPr>
        <w:t>2014</w:t>
      </w:r>
      <w:r>
        <w:rPr>
          <w:color w:val="000000" w:themeColor="text1"/>
        </w:rPr>
        <w:tab/>
      </w:r>
      <w:r w:rsidRPr="00BB2214">
        <w:rPr>
          <w:color w:val="000000" w:themeColor="text1"/>
        </w:rPr>
        <w:t>Ley Federal de Competencia Económica</w:t>
      </w:r>
    </w:p>
    <w:p w:rsidR="00BB2214" w:rsidRDefault="00BB2214" w:rsidP="00D936C4">
      <w:pPr>
        <w:spacing w:line="360" w:lineRule="auto"/>
        <w:jc w:val="both"/>
        <w:rPr>
          <w:color w:val="000000" w:themeColor="text1"/>
        </w:rPr>
      </w:pPr>
    </w:p>
    <w:p w:rsidR="00CC37BB" w:rsidRPr="00047B4E" w:rsidRDefault="005A478B" w:rsidP="00D936C4">
      <w:pPr>
        <w:spacing w:line="360" w:lineRule="auto"/>
        <w:jc w:val="both"/>
        <w:rPr>
          <w:color w:val="000000" w:themeColor="text1"/>
        </w:rPr>
      </w:pPr>
      <w:r w:rsidRPr="00047B4E">
        <w:rPr>
          <w:color w:val="000000" w:themeColor="text1"/>
        </w:rPr>
        <w:t>Comisión Nacional de los Mercados y la Competencia</w:t>
      </w:r>
    </w:p>
    <w:p w:rsidR="002355F1" w:rsidRPr="00047B4E" w:rsidRDefault="005A478B" w:rsidP="00D936C4">
      <w:pPr>
        <w:spacing w:line="360" w:lineRule="auto"/>
        <w:jc w:val="both"/>
        <w:rPr>
          <w:color w:val="000000" w:themeColor="text1"/>
        </w:rPr>
      </w:pPr>
      <w:r w:rsidRPr="00047B4E">
        <w:rPr>
          <w:color w:val="000000" w:themeColor="text1"/>
        </w:rPr>
        <w:t>2017</w:t>
      </w:r>
      <w:r w:rsidRPr="00047B4E">
        <w:rPr>
          <w:color w:val="000000" w:themeColor="text1"/>
        </w:rPr>
        <w:tab/>
        <w:t>Expediente Sancionador SNC/DC/0074/16 CONSENUR, disponible en &lt;</w:t>
      </w:r>
      <w:hyperlink r:id="rId24">
        <w:r w:rsidRPr="00047B4E">
          <w:rPr>
            <w:color w:val="000000" w:themeColor="text1"/>
            <w:u w:val="single"/>
          </w:rPr>
          <w:t>https://www.cnmc.es/sites/default/files/1647653.pdf</w:t>
        </w:r>
      </w:hyperlink>
      <w:r w:rsidRPr="00047B4E">
        <w:rPr>
          <w:color w:val="000000" w:themeColor="text1"/>
        </w:rPr>
        <w:t>&gt;</w:t>
      </w:r>
    </w:p>
    <w:p w:rsidR="002355F1" w:rsidRPr="00047B4E" w:rsidRDefault="002355F1" w:rsidP="00D936C4">
      <w:pPr>
        <w:pBdr>
          <w:top w:val="nil"/>
          <w:left w:val="nil"/>
          <w:bottom w:val="nil"/>
          <w:right w:val="nil"/>
          <w:between w:val="nil"/>
        </w:pBdr>
        <w:spacing w:line="360" w:lineRule="auto"/>
        <w:jc w:val="both"/>
        <w:rPr>
          <w:color w:val="000000" w:themeColor="text1"/>
        </w:rPr>
      </w:pPr>
    </w:p>
    <w:p w:rsidR="00CC37BB" w:rsidRPr="00047B4E" w:rsidRDefault="00C8383A" w:rsidP="00D936C4">
      <w:pPr>
        <w:pBdr>
          <w:top w:val="nil"/>
          <w:left w:val="nil"/>
          <w:bottom w:val="nil"/>
          <w:right w:val="nil"/>
          <w:between w:val="nil"/>
        </w:pBdr>
        <w:spacing w:line="360" w:lineRule="auto"/>
        <w:jc w:val="both"/>
        <w:rPr>
          <w:color w:val="000000" w:themeColor="text1"/>
        </w:rPr>
      </w:pPr>
      <w:hyperlink r:id="rId25">
        <w:r w:rsidR="005A478B" w:rsidRPr="00047B4E">
          <w:rPr>
            <w:color w:val="000000" w:themeColor="text1"/>
          </w:rPr>
          <w:t xml:space="preserve">Conselho Administrativo de Defesa Econômica </w:t>
        </w:r>
      </w:hyperlink>
    </w:p>
    <w:p w:rsidR="002355F1" w:rsidRPr="00047B4E" w:rsidRDefault="005A478B" w:rsidP="00D936C4">
      <w:pPr>
        <w:pBdr>
          <w:top w:val="nil"/>
          <w:left w:val="nil"/>
          <w:bottom w:val="nil"/>
          <w:right w:val="nil"/>
          <w:between w:val="nil"/>
        </w:pBdr>
        <w:spacing w:line="360" w:lineRule="auto"/>
        <w:jc w:val="both"/>
        <w:rPr>
          <w:color w:val="000000" w:themeColor="text1"/>
        </w:rPr>
      </w:pPr>
      <w:r w:rsidRPr="00047B4E">
        <w:rPr>
          <w:color w:val="000000" w:themeColor="text1"/>
        </w:rPr>
        <w:t>2015</w:t>
      </w:r>
      <w:r w:rsidRPr="00047B4E">
        <w:rPr>
          <w:color w:val="000000" w:themeColor="text1"/>
        </w:rPr>
        <w:tab/>
        <w:t>Estudio Previo de las Operaciones de Fusión. Disponible en &lt;</w:t>
      </w:r>
      <w:hyperlink r:id="rId26">
        <w:r w:rsidRPr="00047B4E">
          <w:rPr>
            <w:color w:val="000000" w:themeColor="text1"/>
            <w:u w:val="single"/>
          </w:rPr>
          <w:t>http://en.cade.gov.br/topics/publications/guidelines/guideline-gun-jumping.pdf</w:t>
        </w:r>
      </w:hyperlink>
      <w:r w:rsidRPr="00047B4E">
        <w:rPr>
          <w:color w:val="000000" w:themeColor="text1"/>
        </w:rPr>
        <w:t>&gt;</w:t>
      </w:r>
    </w:p>
    <w:p w:rsidR="002355F1" w:rsidRPr="00047B4E" w:rsidRDefault="005A478B" w:rsidP="00D936C4">
      <w:pPr>
        <w:pBdr>
          <w:top w:val="nil"/>
          <w:left w:val="nil"/>
          <w:bottom w:val="nil"/>
          <w:right w:val="nil"/>
          <w:between w:val="nil"/>
        </w:pBdr>
        <w:spacing w:line="360" w:lineRule="auto"/>
        <w:jc w:val="both"/>
        <w:rPr>
          <w:color w:val="000000" w:themeColor="text1"/>
        </w:rPr>
      </w:pPr>
      <w:r w:rsidRPr="00047B4E">
        <w:rPr>
          <w:color w:val="000000" w:themeColor="text1"/>
        </w:rPr>
        <w:t>2016</w:t>
      </w:r>
      <w:r w:rsidRPr="00047B4E">
        <w:rPr>
          <w:color w:val="000000" w:themeColor="text1"/>
        </w:rPr>
        <w:tab/>
      </w:r>
      <w:r w:rsidRPr="00047B4E">
        <w:rPr>
          <w:color w:val="000000" w:themeColor="text1"/>
          <w:highlight w:val="white"/>
        </w:rPr>
        <w:t xml:space="preserve">Cisco Systems Inc. y Technicolor S.A. 20 de Enero de 2016. </w:t>
      </w:r>
    </w:p>
    <w:p w:rsidR="002355F1" w:rsidRPr="00047B4E" w:rsidRDefault="002355F1" w:rsidP="00D936C4">
      <w:pPr>
        <w:pBdr>
          <w:top w:val="nil"/>
          <w:left w:val="nil"/>
          <w:bottom w:val="nil"/>
          <w:right w:val="nil"/>
          <w:between w:val="nil"/>
        </w:pBdr>
        <w:spacing w:line="360" w:lineRule="auto"/>
        <w:jc w:val="both"/>
        <w:rPr>
          <w:color w:val="000000" w:themeColor="text1"/>
        </w:rPr>
      </w:pPr>
    </w:p>
    <w:p w:rsidR="00CC37BB" w:rsidRPr="00047B4E" w:rsidRDefault="005A478B" w:rsidP="00D936C4">
      <w:pPr>
        <w:pBdr>
          <w:top w:val="nil"/>
          <w:left w:val="nil"/>
          <w:bottom w:val="nil"/>
          <w:right w:val="nil"/>
          <w:between w:val="nil"/>
        </w:pBdr>
        <w:spacing w:line="360" w:lineRule="auto"/>
        <w:jc w:val="both"/>
        <w:rPr>
          <w:color w:val="000000" w:themeColor="text1"/>
        </w:rPr>
      </w:pPr>
      <w:r w:rsidRPr="00047B4E">
        <w:rPr>
          <w:color w:val="000000" w:themeColor="text1"/>
        </w:rPr>
        <w:t>Comisión Europea</w:t>
      </w:r>
    </w:p>
    <w:p w:rsidR="00CC37BB" w:rsidRPr="00B219CF" w:rsidRDefault="005A478B" w:rsidP="00D936C4">
      <w:pPr>
        <w:pBdr>
          <w:top w:val="nil"/>
          <w:left w:val="nil"/>
          <w:bottom w:val="nil"/>
          <w:right w:val="nil"/>
          <w:between w:val="nil"/>
        </w:pBdr>
        <w:spacing w:line="360" w:lineRule="auto"/>
        <w:jc w:val="both"/>
        <w:rPr>
          <w:color w:val="000000" w:themeColor="text1"/>
        </w:rPr>
      </w:pPr>
      <w:r w:rsidRPr="00B219CF">
        <w:rPr>
          <w:color w:val="000000" w:themeColor="text1"/>
        </w:rPr>
        <w:t>1998</w:t>
      </w:r>
      <w:r w:rsidR="00CC37BB" w:rsidRPr="00B219CF">
        <w:rPr>
          <w:color w:val="000000" w:themeColor="text1"/>
        </w:rPr>
        <w:t xml:space="preserve"> </w:t>
      </w:r>
      <w:r w:rsidRPr="00B219CF">
        <w:rPr>
          <w:color w:val="000000" w:themeColor="text1"/>
        </w:rPr>
        <w:t>Caso 4064/89 Bertelsmann/Kirch/Premiere</w:t>
      </w:r>
    </w:p>
    <w:p w:rsidR="002355F1" w:rsidRPr="00B219CF" w:rsidRDefault="005A478B" w:rsidP="00D936C4">
      <w:pPr>
        <w:pBdr>
          <w:top w:val="nil"/>
          <w:left w:val="nil"/>
          <w:bottom w:val="nil"/>
          <w:right w:val="nil"/>
          <w:between w:val="nil"/>
        </w:pBdr>
        <w:spacing w:line="360" w:lineRule="auto"/>
        <w:jc w:val="both"/>
        <w:rPr>
          <w:color w:val="000000" w:themeColor="text1"/>
        </w:rPr>
      </w:pPr>
      <w:r w:rsidRPr="00B219CF">
        <w:rPr>
          <w:color w:val="000000" w:themeColor="text1"/>
        </w:rPr>
        <w:t>&lt;</w:t>
      </w:r>
      <w:hyperlink r:id="rId27">
        <w:r w:rsidRPr="00B219CF">
          <w:rPr>
            <w:color w:val="000000" w:themeColor="text1"/>
            <w:u w:val="single"/>
          </w:rPr>
          <w:t>http://ec.europa.eu/competition/mergers/cases/decisions/m993_19980527_610_en.pdf</w:t>
        </w:r>
      </w:hyperlink>
      <w:r w:rsidRPr="00B219CF">
        <w:rPr>
          <w:color w:val="000000" w:themeColor="text1"/>
        </w:rPr>
        <w:t>&gt;</w:t>
      </w:r>
    </w:p>
    <w:p w:rsidR="002355F1" w:rsidRPr="00047B4E" w:rsidRDefault="005A478B" w:rsidP="00D936C4">
      <w:pPr>
        <w:pBdr>
          <w:top w:val="nil"/>
          <w:left w:val="nil"/>
          <w:bottom w:val="nil"/>
          <w:right w:val="nil"/>
          <w:between w:val="nil"/>
        </w:pBdr>
        <w:spacing w:line="360" w:lineRule="auto"/>
        <w:jc w:val="both"/>
        <w:rPr>
          <w:color w:val="000000" w:themeColor="text1"/>
        </w:rPr>
      </w:pPr>
      <w:r w:rsidRPr="00047B4E">
        <w:rPr>
          <w:color w:val="000000" w:themeColor="text1"/>
        </w:rPr>
        <w:t>2017</w:t>
      </w:r>
      <w:r w:rsidRPr="00047B4E">
        <w:rPr>
          <w:color w:val="000000" w:themeColor="text1"/>
        </w:rPr>
        <w:tab/>
        <w:t>Caso ALTICE / PT PORTUGAL</w:t>
      </w:r>
    </w:p>
    <w:p w:rsidR="002355F1" w:rsidRPr="00047B4E" w:rsidRDefault="005A478B" w:rsidP="00D936C4">
      <w:pPr>
        <w:spacing w:line="360" w:lineRule="auto"/>
        <w:ind w:left="720" w:hanging="720"/>
        <w:jc w:val="both"/>
        <w:rPr>
          <w:color w:val="000000" w:themeColor="text1"/>
        </w:rPr>
      </w:pPr>
      <w:r w:rsidRPr="00047B4E">
        <w:rPr>
          <w:color w:val="000000" w:themeColor="text1"/>
        </w:rPr>
        <w:t>2018</w:t>
      </w:r>
      <w:r w:rsidRPr="00047B4E">
        <w:rPr>
          <w:color w:val="000000" w:themeColor="text1"/>
        </w:rPr>
        <w:tab/>
        <w:t>Caso Ernst &amp; Young y KPMG DK. Asunto C‑633/16.</w:t>
      </w:r>
    </w:p>
    <w:p w:rsidR="002355F1" w:rsidRPr="00047B4E" w:rsidRDefault="005A478B" w:rsidP="00D936C4">
      <w:pPr>
        <w:spacing w:line="360" w:lineRule="auto"/>
        <w:ind w:left="720" w:hanging="720"/>
        <w:rPr>
          <w:color w:val="000000" w:themeColor="text1"/>
        </w:rPr>
      </w:pPr>
      <w:r w:rsidRPr="00047B4E">
        <w:rPr>
          <w:color w:val="000000" w:themeColor="text1"/>
        </w:rPr>
        <w:t>2004</w:t>
      </w:r>
      <w:r w:rsidRPr="00047B4E">
        <w:rPr>
          <w:color w:val="000000" w:themeColor="text1"/>
        </w:rPr>
        <w:tab/>
        <w:t>Reglamento</w:t>
      </w:r>
      <w:r w:rsidRPr="00047B4E">
        <w:rPr>
          <w:color w:val="000000" w:themeColor="text1"/>
          <w:highlight w:val="white"/>
        </w:rPr>
        <w:t> (</w:t>
      </w:r>
      <w:r w:rsidRPr="00047B4E">
        <w:rPr>
          <w:color w:val="000000" w:themeColor="text1"/>
        </w:rPr>
        <w:t>CE</w:t>
      </w:r>
      <w:r w:rsidRPr="00047B4E">
        <w:rPr>
          <w:color w:val="000000" w:themeColor="text1"/>
          <w:highlight w:val="white"/>
        </w:rPr>
        <w:t>) n° </w:t>
      </w:r>
      <w:r w:rsidRPr="00047B4E">
        <w:rPr>
          <w:color w:val="000000" w:themeColor="text1"/>
        </w:rPr>
        <w:t>139</w:t>
      </w:r>
      <w:r w:rsidRPr="00047B4E">
        <w:rPr>
          <w:color w:val="000000" w:themeColor="text1"/>
          <w:highlight w:val="white"/>
        </w:rPr>
        <w:t>/</w:t>
      </w:r>
      <w:r w:rsidRPr="00047B4E">
        <w:rPr>
          <w:color w:val="000000" w:themeColor="text1"/>
        </w:rPr>
        <w:t>2004</w:t>
      </w:r>
      <w:r w:rsidRPr="00047B4E">
        <w:rPr>
          <w:color w:val="000000" w:themeColor="text1"/>
          <w:highlight w:val="white"/>
        </w:rPr>
        <w:t> del Consejo, de 20 de enero de </w:t>
      </w:r>
      <w:r w:rsidRPr="00047B4E">
        <w:rPr>
          <w:color w:val="000000" w:themeColor="text1"/>
        </w:rPr>
        <w:t>2004</w:t>
      </w:r>
      <w:r w:rsidRPr="00047B4E">
        <w:rPr>
          <w:color w:val="000000" w:themeColor="text1"/>
          <w:highlight w:val="white"/>
        </w:rPr>
        <w:t>, sobre el control de las concentraciones entre empresas</w:t>
      </w:r>
    </w:p>
    <w:p w:rsidR="002355F1" w:rsidRPr="00047B4E" w:rsidRDefault="005A478B" w:rsidP="00D936C4">
      <w:pPr>
        <w:spacing w:line="360" w:lineRule="auto"/>
        <w:ind w:left="720" w:hanging="720"/>
        <w:rPr>
          <w:color w:val="000000" w:themeColor="text1"/>
          <w:lang w:val="en-US"/>
        </w:rPr>
      </w:pPr>
      <w:r w:rsidRPr="00047B4E">
        <w:rPr>
          <w:color w:val="000000" w:themeColor="text1"/>
          <w:lang w:val="en-US"/>
        </w:rPr>
        <w:t>2016</w:t>
      </w:r>
      <w:r w:rsidRPr="00047B4E">
        <w:rPr>
          <w:color w:val="000000" w:themeColor="text1"/>
          <w:lang w:val="en-US"/>
        </w:rPr>
        <w:tab/>
        <w:t xml:space="preserve"> </w:t>
      </w:r>
      <w:r w:rsidRPr="00047B4E">
        <w:rPr>
          <w:i/>
          <w:color w:val="000000" w:themeColor="text1"/>
          <w:lang w:val="en-US"/>
        </w:rPr>
        <w:t>“The economic impact of enforcement of competition policies on the functioning of EU energy markets”</w:t>
      </w:r>
      <w:r w:rsidRPr="00047B4E">
        <w:rPr>
          <w:color w:val="000000" w:themeColor="text1"/>
          <w:lang w:val="en-US"/>
        </w:rPr>
        <w:t xml:space="preserve">. </w:t>
      </w:r>
    </w:p>
    <w:p w:rsidR="002355F1" w:rsidRPr="00047B4E" w:rsidRDefault="002355F1" w:rsidP="00D936C4">
      <w:pPr>
        <w:spacing w:line="360" w:lineRule="auto"/>
        <w:ind w:left="720" w:hanging="720"/>
        <w:jc w:val="both"/>
        <w:rPr>
          <w:color w:val="000000" w:themeColor="text1"/>
          <w:lang w:val="en-US"/>
        </w:rPr>
      </w:pPr>
    </w:p>
    <w:p w:rsidR="002355F1" w:rsidRPr="00047B4E" w:rsidRDefault="005A478B" w:rsidP="00D936C4">
      <w:pPr>
        <w:spacing w:line="360" w:lineRule="auto"/>
        <w:ind w:left="720" w:hanging="720"/>
        <w:jc w:val="both"/>
        <w:rPr>
          <w:color w:val="000000" w:themeColor="text1"/>
        </w:rPr>
      </w:pPr>
      <w:r w:rsidRPr="00047B4E">
        <w:rPr>
          <w:color w:val="000000" w:themeColor="text1"/>
        </w:rPr>
        <w:t xml:space="preserve">DAMMERT, Alfredo; GALLARDO, Jose y GARCÍA, Raúl. </w:t>
      </w:r>
    </w:p>
    <w:p w:rsidR="002355F1" w:rsidRPr="00047B4E" w:rsidRDefault="005A478B" w:rsidP="00D936C4">
      <w:pPr>
        <w:spacing w:line="360" w:lineRule="auto"/>
        <w:ind w:left="720" w:hanging="720"/>
        <w:jc w:val="both"/>
        <w:rPr>
          <w:color w:val="000000" w:themeColor="text1"/>
        </w:rPr>
      </w:pPr>
      <w:r w:rsidRPr="00047B4E">
        <w:rPr>
          <w:color w:val="000000" w:themeColor="text1"/>
        </w:rPr>
        <w:t>2005</w:t>
      </w:r>
      <w:r w:rsidRPr="00047B4E">
        <w:rPr>
          <w:color w:val="000000" w:themeColor="text1"/>
        </w:rPr>
        <w:tab/>
        <w:t>Reformas Estructurales en el Sector Eléctrico Peruano. Lima: OSINERG, 2005.</w:t>
      </w:r>
    </w:p>
    <w:p w:rsidR="002355F1" w:rsidRPr="00047B4E" w:rsidRDefault="002355F1" w:rsidP="00D936C4">
      <w:pPr>
        <w:spacing w:line="360" w:lineRule="auto"/>
        <w:jc w:val="both"/>
        <w:rPr>
          <w:color w:val="000000" w:themeColor="text1"/>
        </w:rPr>
      </w:pPr>
    </w:p>
    <w:p w:rsidR="002355F1" w:rsidRPr="00047B4E" w:rsidRDefault="005A478B" w:rsidP="00D936C4">
      <w:pPr>
        <w:spacing w:line="360" w:lineRule="auto"/>
        <w:rPr>
          <w:color w:val="000000" w:themeColor="text1"/>
        </w:rPr>
      </w:pPr>
      <w:r w:rsidRPr="00047B4E">
        <w:rPr>
          <w:color w:val="000000" w:themeColor="text1"/>
        </w:rPr>
        <w:t>DIEZ CANSECO NÚÑEZ, Luis José, FALLA JARA, Alejandro, QUINTANA SÁNCHEZ Eduardo y TÁVARA MARTÍN, José Ignacio.</w:t>
      </w:r>
    </w:p>
    <w:p w:rsidR="002355F1" w:rsidRPr="00047B4E" w:rsidRDefault="005A478B" w:rsidP="00D936C4">
      <w:pPr>
        <w:spacing w:line="360" w:lineRule="auto"/>
        <w:ind w:left="720" w:hanging="720"/>
        <w:rPr>
          <w:color w:val="000000" w:themeColor="text1"/>
        </w:rPr>
      </w:pPr>
      <w:r w:rsidRPr="00047B4E">
        <w:rPr>
          <w:color w:val="000000" w:themeColor="text1"/>
        </w:rPr>
        <w:t>2012</w:t>
      </w:r>
      <w:r w:rsidRPr="00047B4E">
        <w:rPr>
          <w:color w:val="000000" w:themeColor="text1"/>
        </w:rPr>
        <w:tab/>
        <w:t>Mesa Redonda sobre Control de Concentraciones en: Ius Et Veritas. Volumen 22. Año 2012. Número 44.</w:t>
      </w:r>
    </w:p>
    <w:p w:rsidR="002355F1" w:rsidRPr="00047B4E" w:rsidRDefault="002355F1" w:rsidP="00D936C4">
      <w:pPr>
        <w:spacing w:line="360" w:lineRule="auto"/>
        <w:rPr>
          <w:color w:val="000000" w:themeColor="text1"/>
        </w:rPr>
      </w:pPr>
    </w:p>
    <w:p w:rsidR="002355F1" w:rsidRPr="00047B4E" w:rsidRDefault="005A478B" w:rsidP="00D936C4">
      <w:pPr>
        <w:spacing w:line="360" w:lineRule="auto"/>
        <w:rPr>
          <w:color w:val="000000" w:themeColor="text1"/>
        </w:rPr>
      </w:pPr>
      <w:r w:rsidRPr="00047B4E">
        <w:rPr>
          <w:color w:val="000000" w:themeColor="text1"/>
        </w:rPr>
        <w:t xml:space="preserve">DUSO, Tomaso; Jo SELDESLACHTS y Florian SZÜCS. </w:t>
      </w:r>
    </w:p>
    <w:p w:rsidR="002355F1" w:rsidRPr="00047B4E" w:rsidRDefault="005A478B" w:rsidP="00D936C4">
      <w:pPr>
        <w:spacing w:line="360" w:lineRule="auto"/>
        <w:ind w:left="720" w:hanging="720"/>
        <w:rPr>
          <w:color w:val="000000" w:themeColor="text1"/>
        </w:rPr>
      </w:pPr>
      <w:r w:rsidRPr="00047B4E">
        <w:rPr>
          <w:color w:val="000000" w:themeColor="text1"/>
          <w:lang w:val="en-US"/>
        </w:rPr>
        <w:t>2016</w:t>
      </w:r>
      <w:r w:rsidRPr="00047B4E">
        <w:rPr>
          <w:color w:val="000000" w:themeColor="text1"/>
          <w:lang w:val="en-US"/>
        </w:rPr>
        <w:tab/>
      </w:r>
      <w:r w:rsidRPr="00047B4E">
        <w:rPr>
          <w:i/>
          <w:color w:val="000000" w:themeColor="text1"/>
          <w:lang w:val="en-US"/>
        </w:rPr>
        <w:t xml:space="preserve">“The Impact of competition policy enforcement on the functioning of EU energy markets”. </w:t>
      </w:r>
      <w:r w:rsidRPr="00047B4E">
        <w:rPr>
          <w:color w:val="000000" w:themeColor="text1"/>
        </w:rPr>
        <w:t>Documento de trabajo. 2016.</w:t>
      </w:r>
    </w:p>
    <w:p w:rsidR="002355F1" w:rsidRPr="00047B4E" w:rsidRDefault="005A478B" w:rsidP="00D936C4">
      <w:pPr>
        <w:spacing w:line="360" w:lineRule="auto"/>
        <w:rPr>
          <w:color w:val="000000" w:themeColor="text1"/>
        </w:rPr>
      </w:pPr>
      <w:r w:rsidRPr="00047B4E">
        <w:rPr>
          <w:color w:val="000000" w:themeColor="text1"/>
        </w:rPr>
        <w:t xml:space="preserve"> </w:t>
      </w:r>
    </w:p>
    <w:p w:rsidR="002355F1" w:rsidRPr="00047B4E" w:rsidRDefault="005A478B" w:rsidP="00D936C4">
      <w:pPr>
        <w:spacing w:line="360" w:lineRule="auto"/>
        <w:rPr>
          <w:color w:val="000000" w:themeColor="text1"/>
        </w:rPr>
      </w:pPr>
      <w:r w:rsidRPr="00047B4E">
        <w:rPr>
          <w:color w:val="000000" w:themeColor="text1"/>
        </w:rPr>
        <w:t xml:space="preserve">ESQUIVIAS JARAMILLO, José Ignacio </w:t>
      </w:r>
    </w:p>
    <w:p w:rsidR="002355F1" w:rsidRPr="00047B4E" w:rsidRDefault="005A478B" w:rsidP="00D936C4">
      <w:pPr>
        <w:spacing w:line="360" w:lineRule="auto"/>
        <w:ind w:left="720" w:hanging="720"/>
        <w:rPr>
          <w:color w:val="000000" w:themeColor="text1"/>
        </w:rPr>
      </w:pPr>
      <w:bookmarkStart w:id="52" w:name="_heading=h.49x2ik5" w:colFirst="0" w:colLast="0"/>
      <w:bookmarkEnd w:id="52"/>
      <w:r w:rsidRPr="00047B4E">
        <w:rPr>
          <w:color w:val="000000" w:themeColor="text1"/>
        </w:rPr>
        <w:t>2014</w:t>
      </w:r>
      <w:r w:rsidRPr="00047B4E">
        <w:rPr>
          <w:color w:val="000000" w:themeColor="text1"/>
        </w:rPr>
        <w:tab/>
        <w:t xml:space="preserve">Concepto de imparcialidad objetiva referida al objeto del proceso en </w:t>
      </w:r>
      <w:hyperlink r:id="rId28">
        <w:r w:rsidRPr="00047B4E">
          <w:rPr>
            <w:color w:val="000000" w:themeColor="text1"/>
          </w:rPr>
          <w:t>CEFLegal: revista práctica de derecho. Comentarios y casos prácticos</w:t>
        </w:r>
      </w:hyperlink>
      <w:r w:rsidRPr="00047B4E">
        <w:rPr>
          <w:color w:val="000000" w:themeColor="text1"/>
        </w:rPr>
        <w:t>, ISSN 1699-129X, </w:t>
      </w:r>
      <w:hyperlink r:id="rId29">
        <w:r w:rsidRPr="00047B4E">
          <w:rPr>
            <w:color w:val="000000" w:themeColor="text1"/>
          </w:rPr>
          <w:t>Nº. 167, 2014</w:t>
        </w:r>
      </w:hyperlink>
      <w:r w:rsidRPr="00047B4E">
        <w:rPr>
          <w:color w:val="000000" w:themeColor="text1"/>
        </w:rPr>
        <w:t>.</w:t>
      </w:r>
    </w:p>
    <w:p w:rsidR="002355F1" w:rsidRPr="00047B4E" w:rsidRDefault="002355F1" w:rsidP="00D936C4">
      <w:pPr>
        <w:spacing w:line="360" w:lineRule="auto"/>
        <w:rPr>
          <w:color w:val="000000" w:themeColor="text1"/>
        </w:rPr>
      </w:pPr>
    </w:p>
    <w:p w:rsidR="002355F1" w:rsidRPr="00047B4E" w:rsidRDefault="005A478B" w:rsidP="00D936C4">
      <w:pPr>
        <w:spacing w:line="360" w:lineRule="auto"/>
        <w:rPr>
          <w:color w:val="000000" w:themeColor="text1"/>
        </w:rPr>
      </w:pPr>
      <w:r w:rsidRPr="00047B4E">
        <w:rPr>
          <w:color w:val="000000" w:themeColor="text1"/>
        </w:rPr>
        <w:t xml:space="preserve">FARRELL, Joseph y Carl SHAPIRO, </w:t>
      </w:r>
    </w:p>
    <w:p w:rsidR="002355F1" w:rsidRPr="00047B4E" w:rsidRDefault="005A478B" w:rsidP="00D936C4">
      <w:pPr>
        <w:spacing w:line="360" w:lineRule="auto"/>
        <w:rPr>
          <w:color w:val="000000" w:themeColor="text1"/>
          <w:lang w:val="en-US"/>
        </w:rPr>
      </w:pPr>
      <w:r w:rsidRPr="00047B4E">
        <w:rPr>
          <w:i/>
          <w:color w:val="000000" w:themeColor="text1"/>
          <w:lang w:val="en-US"/>
        </w:rPr>
        <w:t>1990</w:t>
      </w:r>
      <w:r w:rsidRPr="00047B4E">
        <w:rPr>
          <w:i/>
          <w:color w:val="000000" w:themeColor="text1"/>
          <w:lang w:val="en-US"/>
        </w:rPr>
        <w:tab/>
        <w:t>Horizontal mergers: An equilibrium analysis</w:t>
      </w:r>
      <w:r w:rsidRPr="00047B4E">
        <w:rPr>
          <w:color w:val="000000" w:themeColor="text1"/>
          <w:lang w:val="en-US"/>
        </w:rPr>
        <w:t>, American Economic Review, N° 80.</w:t>
      </w:r>
    </w:p>
    <w:p w:rsidR="002355F1" w:rsidRPr="00047B4E" w:rsidRDefault="002355F1" w:rsidP="00D936C4">
      <w:pPr>
        <w:spacing w:line="360" w:lineRule="auto"/>
        <w:jc w:val="both"/>
        <w:rPr>
          <w:color w:val="000000" w:themeColor="text1"/>
          <w:lang w:val="en-US"/>
        </w:rPr>
      </w:pPr>
    </w:p>
    <w:p w:rsidR="002355F1" w:rsidRPr="00047B4E" w:rsidRDefault="005A478B" w:rsidP="00D936C4">
      <w:pPr>
        <w:spacing w:line="360" w:lineRule="auto"/>
        <w:rPr>
          <w:color w:val="000000" w:themeColor="text1"/>
        </w:rPr>
      </w:pPr>
      <w:r w:rsidRPr="00047B4E">
        <w:rPr>
          <w:color w:val="000000" w:themeColor="text1"/>
        </w:rPr>
        <w:t>FERRERO, Guillermo</w:t>
      </w:r>
    </w:p>
    <w:p w:rsidR="002355F1" w:rsidRPr="00047B4E" w:rsidRDefault="005A478B" w:rsidP="00D936C4">
      <w:pPr>
        <w:spacing w:line="360" w:lineRule="auto"/>
        <w:ind w:left="720" w:hanging="720"/>
        <w:rPr>
          <w:color w:val="000000" w:themeColor="text1"/>
        </w:rPr>
      </w:pPr>
      <w:r w:rsidRPr="00047B4E">
        <w:rPr>
          <w:color w:val="000000" w:themeColor="text1"/>
        </w:rPr>
        <w:t>2019</w:t>
      </w:r>
      <w:r w:rsidRPr="00047B4E">
        <w:rPr>
          <w:color w:val="000000" w:themeColor="text1"/>
        </w:rPr>
        <w:tab/>
        <w:t>“Impacto de la Ley de Control Previo de Concentraciones” en Diario Gestión del 10 de mayo de 2019.</w:t>
      </w:r>
    </w:p>
    <w:p w:rsidR="002355F1" w:rsidRPr="00047B4E" w:rsidRDefault="002355F1" w:rsidP="00D936C4">
      <w:pPr>
        <w:spacing w:line="360" w:lineRule="auto"/>
        <w:jc w:val="both"/>
        <w:rPr>
          <w:color w:val="000000" w:themeColor="text1"/>
        </w:rPr>
      </w:pPr>
    </w:p>
    <w:p w:rsidR="00CC37BB" w:rsidRPr="00047B4E" w:rsidRDefault="005A478B" w:rsidP="00D936C4">
      <w:pPr>
        <w:spacing w:line="360" w:lineRule="auto"/>
        <w:jc w:val="both"/>
        <w:rPr>
          <w:color w:val="000000" w:themeColor="text1"/>
        </w:rPr>
      </w:pPr>
      <w:r w:rsidRPr="00047B4E">
        <w:rPr>
          <w:color w:val="000000" w:themeColor="text1"/>
        </w:rPr>
        <w:t xml:space="preserve">Fiscalía Nacional Económica </w:t>
      </w:r>
    </w:p>
    <w:p w:rsidR="002355F1" w:rsidRPr="00047B4E" w:rsidRDefault="005A478B" w:rsidP="00D936C4">
      <w:pPr>
        <w:spacing w:line="360" w:lineRule="auto"/>
        <w:ind w:left="720" w:hanging="720"/>
        <w:jc w:val="both"/>
        <w:rPr>
          <w:color w:val="000000" w:themeColor="text1"/>
        </w:rPr>
      </w:pPr>
      <w:r w:rsidRPr="00047B4E">
        <w:rPr>
          <w:color w:val="000000" w:themeColor="text1"/>
        </w:rPr>
        <w:t xml:space="preserve">2018 </w:t>
      </w:r>
      <w:r w:rsidRPr="00047B4E">
        <w:rPr>
          <w:color w:val="000000" w:themeColor="text1"/>
        </w:rPr>
        <w:tab/>
        <w:t>Requerimiento de la Fiscalía Nacional Económica contra Minerva S.A. disponible en &lt;</w:t>
      </w:r>
      <w:hyperlink r:id="rId30">
        <w:r w:rsidRPr="00047B4E">
          <w:rPr>
            <w:color w:val="000000" w:themeColor="text1"/>
            <w:u w:val="single"/>
          </w:rPr>
          <w:t>http://www.fne.gob.cl/wp-content/uploads/2018/04/Requerimiento-Minerva-JBS.pdf</w:t>
        </w:r>
      </w:hyperlink>
      <w:r w:rsidRPr="00047B4E">
        <w:rPr>
          <w:color w:val="000000" w:themeColor="text1"/>
        </w:rPr>
        <w:t>&gt;</w:t>
      </w:r>
    </w:p>
    <w:p w:rsidR="002355F1" w:rsidRPr="00047B4E" w:rsidRDefault="002355F1" w:rsidP="00D936C4">
      <w:pPr>
        <w:spacing w:line="360" w:lineRule="auto"/>
        <w:jc w:val="both"/>
        <w:rPr>
          <w:color w:val="000000" w:themeColor="text1"/>
        </w:rPr>
      </w:pPr>
    </w:p>
    <w:p w:rsidR="002355F1" w:rsidRPr="00047B4E" w:rsidRDefault="005A478B" w:rsidP="00D936C4">
      <w:pPr>
        <w:spacing w:after="380" w:line="360" w:lineRule="auto"/>
        <w:jc w:val="both"/>
        <w:rPr>
          <w:color w:val="000000" w:themeColor="text1"/>
        </w:rPr>
      </w:pPr>
      <w:r w:rsidRPr="00047B4E">
        <w:rPr>
          <w:color w:val="000000" w:themeColor="text1"/>
          <w:highlight w:val="white"/>
        </w:rPr>
        <w:t xml:space="preserve">GARCÍA DE ENTERRÍA, Eduardo, and Tomás RAMÓN FERNÁNDEZ </w:t>
      </w:r>
      <w:r w:rsidRPr="00047B4E">
        <w:rPr>
          <w:color w:val="000000" w:themeColor="text1"/>
          <w:highlight w:val="white"/>
        </w:rPr>
        <w:br/>
        <w:t>2004</w:t>
      </w:r>
      <w:r w:rsidRPr="00047B4E">
        <w:rPr>
          <w:color w:val="000000" w:themeColor="text1"/>
          <w:highlight w:val="white"/>
        </w:rPr>
        <w:tab/>
      </w:r>
      <w:r w:rsidRPr="00047B4E">
        <w:rPr>
          <w:i/>
          <w:color w:val="000000" w:themeColor="text1"/>
          <w:highlight w:val="white"/>
        </w:rPr>
        <w:t>Curso de derecho administrativo</w:t>
      </w:r>
      <w:r w:rsidRPr="00047B4E">
        <w:rPr>
          <w:color w:val="000000" w:themeColor="text1"/>
          <w:highlight w:val="white"/>
        </w:rPr>
        <w:t>. Madrid: Thomson/Civitas, 2004.</w:t>
      </w:r>
    </w:p>
    <w:p w:rsidR="002355F1" w:rsidRPr="00047B4E" w:rsidRDefault="005A478B" w:rsidP="00D936C4">
      <w:pPr>
        <w:spacing w:line="360" w:lineRule="auto"/>
        <w:ind w:left="720" w:hanging="720"/>
        <w:jc w:val="both"/>
        <w:rPr>
          <w:color w:val="000000" w:themeColor="text1"/>
        </w:rPr>
      </w:pPr>
      <w:r w:rsidRPr="00047B4E">
        <w:rPr>
          <w:color w:val="000000" w:themeColor="text1"/>
        </w:rPr>
        <w:t>GÓMEZ APAC, Hugo</w:t>
      </w:r>
    </w:p>
    <w:p w:rsidR="002355F1" w:rsidRPr="00047B4E" w:rsidRDefault="005A478B" w:rsidP="00D936C4">
      <w:pPr>
        <w:spacing w:line="360" w:lineRule="auto"/>
        <w:ind w:left="720" w:hanging="720"/>
        <w:rPr>
          <w:color w:val="000000" w:themeColor="text1"/>
        </w:rPr>
      </w:pPr>
      <w:r w:rsidRPr="00047B4E">
        <w:rPr>
          <w:color w:val="000000" w:themeColor="text1"/>
        </w:rPr>
        <w:lastRenderedPageBreak/>
        <w:t>2010</w:t>
      </w:r>
      <w:r w:rsidRPr="00047B4E">
        <w:rPr>
          <w:color w:val="000000" w:themeColor="text1"/>
        </w:rPr>
        <w:tab/>
        <w:t>Apuntes sobre la Graduación de Sanciones por Infracciones a las Normas de Protección al Consumidor. Derecho &amp; Sociedad número 34.</w:t>
      </w:r>
    </w:p>
    <w:p w:rsidR="002355F1" w:rsidRPr="00047B4E" w:rsidRDefault="002355F1" w:rsidP="00D936C4">
      <w:pPr>
        <w:spacing w:line="360" w:lineRule="auto"/>
        <w:rPr>
          <w:color w:val="000000" w:themeColor="text1"/>
          <w:highlight w:val="white"/>
        </w:rPr>
      </w:pPr>
    </w:p>
    <w:p w:rsidR="002355F1" w:rsidRPr="00047B4E" w:rsidRDefault="005A478B" w:rsidP="00D936C4">
      <w:pPr>
        <w:spacing w:line="360" w:lineRule="auto"/>
        <w:rPr>
          <w:color w:val="000000" w:themeColor="text1"/>
        </w:rPr>
      </w:pPr>
      <w:r w:rsidRPr="00047B4E">
        <w:rPr>
          <w:color w:val="000000" w:themeColor="text1"/>
        </w:rPr>
        <w:t>GÓMEZ TOMILLO, Manuel y Íñigo SANZ</w:t>
      </w:r>
    </w:p>
    <w:p w:rsidR="002355F1" w:rsidRPr="00047B4E" w:rsidRDefault="005A478B" w:rsidP="00D936C4">
      <w:pPr>
        <w:spacing w:line="360" w:lineRule="auto"/>
        <w:ind w:left="720" w:hanging="720"/>
        <w:rPr>
          <w:color w:val="000000" w:themeColor="text1"/>
        </w:rPr>
      </w:pPr>
      <w:r w:rsidRPr="00047B4E">
        <w:rPr>
          <w:color w:val="000000" w:themeColor="text1"/>
        </w:rPr>
        <w:t>2013</w:t>
      </w:r>
      <w:r w:rsidRPr="00047B4E">
        <w:rPr>
          <w:color w:val="000000" w:themeColor="text1"/>
        </w:rPr>
        <w:tab/>
        <w:t>Derecho Administrativo Sancionador. Parte General</w:t>
      </w:r>
      <w:r w:rsidRPr="00047B4E">
        <w:rPr>
          <w:color w:val="000000" w:themeColor="text1"/>
        </w:rPr>
        <w:tab/>
        <w:t>. Editorial Aranzadi: Tercera edición.</w:t>
      </w:r>
    </w:p>
    <w:p w:rsidR="002355F1" w:rsidRPr="00047B4E" w:rsidRDefault="002355F1" w:rsidP="00D936C4">
      <w:pPr>
        <w:spacing w:line="360" w:lineRule="auto"/>
        <w:jc w:val="both"/>
        <w:rPr>
          <w:color w:val="000000" w:themeColor="text1"/>
        </w:rPr>
      </w:pPr>
    </w:p>
    <w:p w:rsidR="002355F1" w:rsidRPr="00047B4E" w:rsidRDefault="005A478B" w:rsidP="00D936C4">
      <w:pPr>
        <w:spacing w:line="360" w:lineRule="auto"/>
        <w:rPr>
          <w:color w:val="000000" w:themeColor="text1"/>
          <w:lang w:val="en-US"/>
        </w:rPr>
      </w:pPr>
      <w:r w:rsidRPr="00047B4E">
        <w:rPr>
          <w:color w:val="000000" w:themeColor="text1"/>
          <w:lang w:val="en-US"/>
        </w:rPr>
        <w:t xml:space="preserve">HOLMES, Thomas. </w:t>
      </w:r>
    </w:p>
    <w:p w:rsidR="002355F1" w:rsidRPr="00047B4E" w:rsidRDefault="005A478B" w:rsidP="00D936C4">
      <w:pPr>
        <w:spacing w:line="360" w:lineRule="auto"/>
        <w:ind w:left="720" w:hanging="720"/>
        <w:rPr>
          <w:color w:val="000000" w:themeColor="text1"/>
          <w:lang w:val="en-US"/>
        </w:rPr>
      </w:pPr>
      <w:r w:rsidRPr="00047B4E">
        <w:rPr>
          <w:color w:val="000000" w:themeColor="text1"/>
          <w:lang w:val="en-US"/>
        </w:rPr>
        <w:t>2010</w:t>
      </w:r>
      <w:r w:rsidRPr="00047B4E">
        <w:rPr>
          <w:color w:val="000000" w:themeColor="text1"/>
          <w:lang w:val="en-US"/>
        </w:rPr>
        <w:tab/>
      </w:r>
      <w:r w:rsidRPr="00047B4E">
        <w:rPr>
          <w:i/>
          <w:color w:val="000000" w:themeColor="text1"/>
          <w:lang w:val="en-US"/>
        </w:rPr>
        <w:t>“Competition and Productivity: A Review of Evidence”</w:t>
      </w:r>
      <w:r w:rsidRPr="00047B4E">
        <w:rPr>
          <w:color w:val="000000" w:themeColor="text1"/>
          <w:lang w:val="en-US"/>
        </w:rPr>
        <w:t>. Federal Reserve Bank of Minneapolis. Research Department Staff Report 439, 2010.</w:t>
      </w:r>
    </w:p>
    <w:p w:rsidR="002355F1" w:rsidRPr="00047B4E" w:rsidRDefault="002355F1" w:rsidP="00D936C4">
      <w:pPr>
        <w:spacing w:line="360" w:lineRule="auto"/>
        <w:rPr>
          <w:color w:val="000000" w:themeColor="text1"/>
          <w:lang w:val="en-US"/>
        </w:rPr>
      </w:pPr>
    </w:p>
    <w:p w:rsidR="002355F1" w:rsidRPr="00047B4E" w:rsidRDefault="005A478B" w:rsidP="00D936C4">
      <w:pPr>
        <w:spacing w:line="360" w:lineRule="auto"/>
        <w:rPr>
          <w:color w:val="000000" w:themeColor="text1"/>
          <w:lang w:val="en-US"/>
        </w:rPr>
      </w:pPr>
      <w:r w:rsidRPr="00047B4E">
        <w:rPr>
          <w:color w:val="000000" w:themeColor="text1"/>
          <w:lang w:val="en-US"/>
        </w:rPr>
        <w:t xml:space="preserve">KELSEN, Hans. </w:t>
      </w:r>
    </w:p>
    <w:p w:rsidR="002355F1" w:rsidRPr="00047B4E" w:rsidRDefault="005A478B" w:rsidP="00D936C4">
      <w:pPr>
        <w:spacing w:line="360" w:lineRule="auto"/>
        <w:rPr>
          <w:color w:val="000000" w:themeColor="text1"/>
          <w:lang w:val="en-US"/>
        </w:rPr>
      </w:pPr>
      <w:r w:rsidRPr="00047B4E">
        <w:rPr>
          <w:color w:val="000000" w:themeColor="text1"/>
          <w:lang w:val="en-US"/>
        </w:rPr>
        <w:t>2005</w:t>
      </w:r>
      <w:r w:rsidRPr="00047B4E">
        <w:rPr>
          <w:color w:val="000000" w:themeColor="text1"/>
          <w:lang w:val="en-US"/>
        </w:rPr>
        <w:tab/>
        <w:t>Teoría Pura del Derecho. Buenos Aires: Eudeba, 2005, p.126.</w:t>
      </w:r>
    </w:p>
    <w:p w:rsidR="002355F1" w:rsidRPr="00047B4E" w:rsidRDefault="002355F1" w:rsidP="00D936C4">
      <w:pPr>
        <w:spacing w:line="360" w:lineRule="auto"/>
        <w:jc w:val="both"/>
        <w:rPr>
          <w:color w:val="000000" w:themeColor="text1"/>
          <w:lang w:val="en-US"/>
        </w:rPr>
      </w:pPr>
    </w:p>
    <w:p w:rsidR="00CC37BB" w:rsidRPr="00047B4E" w:rsidRDefault="005A478B" w:rsidP="00D936C4">
      <w:pPr>
        <w:spacing w:line="360" w:lineRule="auto"/>
        <w:jc w:val="both"/>
        <w:rPr>
          <w:color w:val="000000" w:themeColor="text1"/>
          <w:lang w:val="en-US"/>
        </w:rPr>
      </w:pPr>
      <w:r w:rsidRPr="00047B4E">
        <w:rPr>
          <w:color w:val="000000" w:themeColor="text1"/>
          <w:lang w:val="en-US"/>
        </w:rPr>
        <w:t>KRAUSS, Joseph</w:t>
      </w:r>
    </w:p>
    <w:p w:rsidR="002355F1" w:rsidRPr="00047B4E" w:rsidRDefault="005A478B" w:rsidP="00D936C4">
      <w:pPr>
        <w:spacing w:line="360" w:lineRule="auto"/>
        <w:ind w:left="720" w:hanging="720"/>
        <w:jc w:val="both"/>
        <w:rPr>
          <w:color w:val="000000" w:themeColor="text1"/>
          <w:lang w:val="en-US"/>
        </w:rPr>
      </w:pPr>
      <w:r w:rsidRPr="00047B4E">
        <w:rPr>
          <w:color w:val="000000" w:themeColor="text1"/>
          <w:lang w:val="en-US"/>
        </w:rPr>
        <w:t>2002</w:t>
      </w:r>
      <w:r w:rsidRPr="00047B4E">
        <w:rPr>
          <w:color w:val="000000" w:themeColor="text1"/>
          <w:lang w:val="en-US"/>
        </w:rPr>
        <w:tab/>
        <w:t xml:space="preserve">Gun Jumping: What Are the Standars Governing Pre-Consummation Activities?. Global Competition Review. </w:t>
      </w:r>
    </w:p>
    <w:p w:rsidR="002355F1" w:rsidRPr="00047B4E" w:rsidRDefault="002355F1" w:rsidP="00D936C4">
      <w:pPr>
        <w:pBdr>
          <w:top w:val="nil"/>
          <w:left w:val="nil"/>
          <w:bottom w:val="nil"/>
          <w:right w:val="nil"/>
          <w:between w:val="nil"/>
        </w:pBdr>
        <w:spacing w:line="360" w:lineRule="auto"/>
        <w:jc w:val="both"/>
        <w:rPr>
          <w:color w:val="000000" w:themeColor="text1"/>
          <w:lang w:val="en-US"/>
        </w:rPr>
      </w:pPr>
    </w:p>
    <w:p w:rsidR="002355F1" w:rsidRPr="004927C1" w:rsidRDefault="005A478B" w:rsidP="00D936C4">
      <w:pPr>
        <w:spacing w:line="360" w:lineRule="auto"/>
        <w:ind w:left="720" w:hanging="720"/>
        <w:jc w:val="both"/>
        <w:rPr>
          <w:color w:val="000000" w:themeColor="text1"/>
          <w:lang w:val="en-US"/>
        </w:rPr>
      </w:pPr>
      <w:r w:rsidRPr="004927C1">
        <w:rPr>
          <w:color w:val="000000" w:themeColor="text1"/>
          <w:lang w:val="en-US"/>
        </w:rPr>
        <w:t xml:space="preserve">KRUGMAN, Paul; WELLS, Robin y OLNEY, Martha L. </w:t>
      </w:r>
    </w:p>
    <w:p w:rsidR="002355F1" w:rsidRPr="004927C1" w:rsidRDefault="005A478B" w:rsidP="00D936C4">
      <w:pPr>
        <w:spacing w:line="360" w:lineRule="auto"/>
        <w:ind w:left="720" w:hanging="720"/>
        <w:jc w:val="both"/>
        <w:rPr>
          <w:color w:val="000000" w:themeColor="text1"/>
        </w:rPr>
      </w:pPr>
      <w:r w:rsidRPr="004927C1">
        <w:rPr>
          <w:color w:val="000000" w:themeColor="text1"/>
        </w:rPr>
        <w:t xml:space="preserve">2008 </w:t>
      </w:r>
      <w:r w:rsidRPr="004927C1">
        <w:rPr>
          <w:color w:val="000000" w:themeColor="text1"/>
        </w:rPr>
        <w:tab/>
        <w:t>Fundamentos de economía, Editorial Reverté, 2008.</w:t>
      </w:r>
    </w:p>
    <w:p w:rsidR="002355F1" w:rsidRPr="004927C1" w:rsidRDefault="002355F1" w:rsidP="00D936C4">
      <w:pPr>
        <w:pBdr>
          <w:top w:val="nil"/>
          <w:left w:val="nil"/>
          <w:bottom w:val="nil"/>
          <w:right w:val="nil"/>
          <w:between w:val="nil"/>
        </w:pBdr>
        <w:spacing w:line="360" w:lineRule="auto"/>
        <w:jc w:val="both"/>
        <w:rPr>
          <w:color w:val="000000" w:themeColor="text1"/>
        </w:rPr>
      </w:pPr>
    </w:p>
    <w:p w:rsidR="001F214F" w:rsidRDefault="005A478B" w:rsidP="00D936C4">
      <w:pPr>
        <w:pBdr>
          <w:top w:val="nil"/>
          <w:left w:val="nil"/>
          <w:bottom w:val="nil"/>
          <w:right w:val="nil"/>
          <w:between w:val="nil"/>
        </w:pBdr>
        <w:spacing w:line="360" w:lineRule="auto"/>
        <w:jc w:val="both"/>
        <w:rPr>
          <w:color w:val="000000" w:themeColor="text1"/>
        </w:rPr>
      </w:pPr>
      <w:r w:rsidRPr="004927C1">
        <w:rPr>
          <w:color w:val="000000" w:themeColor="text1"/>
        </w:rPr>
        <w:t>LAGUNA de PAZ, José Carlos</w:t>
      </w:r>
    </w:p>
    <w:p w:rsidR="004927C1" w:rsidRPr="001F214F" w:rsidRDefault="004927C1" w:rsidP="00D936C4">
      <w:pPr>
        <w:pBdr>
          <w:top w:val="nil"/>
          <w:left w:val="nil"/>
          <w:bottom w:val="nil"/>
          <w:right w:val="nil"/>
          <w:between w:val="nil"/>
        </w:pBdr>
        <w:spacing w:line="360" w:lineRule="auto"/>
        <w:jc w:val="both"/>
        <w:rPr>
          <w:color w:val="000000" w:themeColor="text1"/>
        </w:rPr>
      </w:pPr>
      <w:r w:rsidRPr="004927C1">
        <w:rPr>
          <w:color w:val="000000" w:themeColor="text1"/>
        </w:rPr>
        <w:t>2016</w:t>
      </w:r>
      <w:r w:rsidRPr="004927C1">
        <w:rPr>
          <w:color w:val="000000" w:themeColor="text1"/>
        </w:rPr>
        <w:tab/>
      </w:r>
      <w:r w:rsidR="001F214F">
        <w:rPr>
          <w:rFonts w:ascii="Times New Roman,Italic" w:hAnsi="Times New Roman,Italic"/>
        </w:rPr>
        <w:t xml:space="preserve">La autorización administrativa. </w:t>
      </w:r>
      <w:r w:rsidR="001F214F">
        <w:t xml:space="preserve">Cizur Menor: Aranzadi </w:t>
      </w:r>
    </w:p>
    <w:p w:rsidR="002355F1" w:rsidRPr="004927C1" w:rsidRDefault="00C8383A" w:rsidP="00D936C4">
      <w:pPr>
        <w:pBdr>
          <w:top w:val="nil"/>
          <w:left w:val="nil"/>
          <w:bottom w:val="nil"/>
          <w:right w:val="nil"/>
          <w:between w:val="nil"/>
        </w:pBdr>
        <w:spacing w:line="360" w:lineRule="auto"/>
        <w:ind w:left="720" w:hanging="720"/>
        <w:jc w:val="both"/>
        <w:rPr>
          <w:color w:val="000000" w:themeColor="text1"/>
        </w:rPr>
      </w:pPr>
      <w:hyperlink r:id="rId31">
        <w:r w:rsidR="005A478B" w:rsidRPr="004927C1">
          <w:rPr>
            <w:color w:val="000000" w:themeColor="text1"/>
          </w:rPr>
          <w:t>2019</w:t>
        </w:r>
      </w:hyperlink>
      <w:r w:rsidR="005A478B" w:rsidRPr="004927C1">
        <w:rPr>
          <w:color w:val="000000" w:themeColor="text1"/>
        </w:rPr>
        <w:tab/>
        <w:t xml:space="preserve">Ámbito de aplicación del derecho de la competencia. Disponible en </w:t>
      </w:r>
      <w:hyperlink r:id="rId32">
        <w:r w:rsidR="005A478B" w:rsidRPr="004927C1">
          <w:rPr>
            <w:color w:val="000000" w:themeColor="text1"/>
          </w:rPr>
          <w:t>Revista de Administración Pública</w:t>
        </w:r>
      </w:hyperlink>
      <w:r w:rsidR="005A478B" w:rsidRPr="004927C1">
        <w:rPr>
          <w:color w:val="000000" w:themeColor="text1"/>
        </w:rPr>
        <w:t xml:space="preserve">, </w:t>
      </w:r>
      <w:hyperlink r:id="rId33">
        <w:r w:rsidR="005A478B" w:rsidRPr="004927C1">
          <w:rPr>
            <w:color w:val="000000" w:themeColor="text1"/>
          </w:rPr>
          <w:t>número 208, Enero/Abril</w:t>
        </w:r>
      </w:hyperlink>
      <w:r w:rsidR="005A478B" w:rsidRPr="004927C1">
        <w:rPr>
          <w:color w:val="000000" w:themeColor="text1"/>
        </w:rPr>
        <w:t>.</w:t>
      </w:r>
    </w:p>
    <w:p w:rsidR="002355F1" w:rsidRPr="004927C1" w:rsidRDefault="002355F1" w:rsidP="00D936C4">
      <w:pPr>
        <w:spacing w:line="360" w:lineRule="auto"/>
        <w:jc w:val="both"/>
        <w:rPr>
          <w:color w:val="000000" w:themeColor="text1"/>
        </w:rPr>
      </w:pPr>
    </w:p>
    <w:p w:rsidR="002355F1" w:rsidRPr="004927C1" w:rsidRDefault="005A478B" w:rsidP="00D936C4">
      <w:pPr>
        <w:spacing w:line="360" w:lineRule="auto"/>
        <w:jc w:val="both"/>
        <w:rPr>
          <w:color w:val="000000" w:themeColor="text1"/>
        </w:rPr>
      </w:pPr>
      <w:r w:rsidRPr="004927C1">
        <w:rPr>
          <w:color w:val="000000" w:themeColor="text1"/>
        </w:rPr>
        <w:t>MARCOS FERNÁNDEZ, Francisco</w:t>
      </w:r>
    </w:p>
    <w:p w:rsidR="002355F1" w:rsidRPr="00047B4E" w:rsidRDefault="005A478B" w:rsidP="00D936C4">
      <w:pPr>
        <w:spacing w:line="360" w:lineRule="auto"/>
        <w:ind w:left="720" w:hanging="720"/>
        <w:jc w:val="both"/>
        <w:rPr>
          <w:color w:val="000000" w:themeColor="text1"/>
        </w:rPr>
      </w:pPr>
      <w:r w:rsidRPr="004927C1">
        <w:rPr>
          <w:color w:val="000000" w:themeColor="text1"/>
        </w:rPr>
        <w:t>2008</w:t>
      </w:r>
      <w:r w:rsidRPr="004927C1">
        <w:rPr>
          <w:color w:val="000000" w:themeColor="text1"/>
        </w:rPr>
        <w:tab/>
        <w:t xml:space="preserve">“El procedimiento de control de concentraciones y la supervisión por organismos reguladores de las Ofertas Públicas de Adquisición”. </w:t>
      </w:r>
    </w:p>
    <w:p w:rsidR="00CC37BB" w:rsidRPr="00145AB1" w:rsidRDefault="005A478B" w:rsidP="00D936C4">
      <w:pPr>
        <w:spacing w:line="360" w:lineRule="auto"/>
        <w:jc w:val="both"/>
        <w:rPr>
          <w:color w:val="000000" w:themeColor="text1"/>
          <w:lang w:val="en-US"/>
        </w:rPr>
      </w:pPr>
      <w:r w:rsidRPr="00145AB1">
        <w:rPr>
          <w:color w:val="000000" w:themeColor="text1"/>
          <w:lang w:val="en-US"/>
        </w:rPr>
        <w:br/>
        <w:t>MODRALL, Jay</w:t>
      </w:r>
    </w:p>
    <w:p w:rsidR="002355F1" w:rsidRPr="00047B4E" w:rsidRDefault="005A478B" w:rsidP="00D936C4">
      <w:pPr>
        <w:spacing w:line="360" w:lineRule="auto"/>
        <w:ind w:left="720" w:hanging="720"/>
        <w:jc w:val="both"/>
        <w:rPr>
          <w:color w:val="000000" w:themeColor="text1"/>
        </w:rPr>
      </w:pPr>
      <w:r w:rsidRPr="00145AB1">
        <w:rPr>
          <w:color w:val="000000" w:themeColor="text1"/>
          <w:lang w:val="en-US"/>
        </w:rPr>
        <w:lastRenderedPageBreak/>
        <w:t>2018</w:t>
      </w:r>
      <w:r w:rsidRPr="00145AB1">
        <w:rPr>
          <w:color w:val="000000" w:themeColor="text1"/>
          <w:lang w:val="en-US"/>
        </w:rPr>
        <w:tab/>
        <w:t xml:space="preserve">“Gun Jumping: Drawing the Line (s)”. 27 de Noviembre de 2018. </w:t>
      </w:r>
      <w:r w:rsidRPr="00047B4E">
        <w:rPr>
          <w:color w:val="000000" w:themeColor="text1"/>
        </w:rPr>
        <w:t xml:space="preserve">Disponible en: </w:t>
      </w:r>
      <w:hyperlink r:id="rId34" w:history="1">
        <w:r w:rsidR="00CC37BB" w:rsidRPr="00047B4E">
          <w:rPr>
            <w:rStyle w:val="Hipervnculo"/>
            <w:color w:val="000000" w:themeColor="text1"/>
          </w:rPr>
          <w:t>https://www.slideshare.net/OECD-DAF/gun-jumping-modrall-november-2018-oecd-discussion</w:t>
        </w:r>
      </w:hyperlink>
      <w:r w:rsidRPr="00047B4E">
        <w:rPr>
          <w:color w:val="000000" w:themeColor="text1"/>
        </w:rPr>
        <w:fldChar w:fldCharType="begin"/>
      </w:r>
      <w:r w:rsidRPr="00047B4E">
        <w:rPr>
          <w:color w:val="000000" w:themeColor="text1"/>
        </w:rPr>
        <w:instrText xml:space="preserve"> HYPERLINK "https://www.slideshare.net/OECD-DAF/gun-jumping-modrall-november-2018-oecd-discussion" </w:instrText>
      </w:r>
      <w:r w:rsidRPr="00047B4E">
        <w:rPr>
          <w:color w:val="000000" w:themeColor="text1"/>
        </w:rPr>
        <w:fldChar w:fldCharType="separate"/>
      </w:r>
    </w:p>
    <w:p w:rsidR="002355F1" w:rsidRPr="00047B4E" w:rsidRDefault="005A478B" w:rsidP="00D936C4">
      <w:pPr>
        <w:spacing w:line="360" w:lineRule="auto"/>
        <w:jc w:val="both"/>
        <w:rPr>
          <w:color w:val="000000" w:themeColor="text1"/>
        </w:rPr>
      </w:pPr>
      <w:r w:rsidRPr="00047B4E">
        <w:rPr>
          <w:color w:val="000000" w:themeColor="text1"/>
        </w:rPr>
        <w:fldChar w:fldCharType="end"/>
      </w:r>
    </w:p>
    <w:p w:rsidR="002355F1" w:rsidRPr="00047B4E" w:rsidRDefault="005A478B" w:rsidP="00D936C4">
      <w:pPr>
        <w:spacing w:line="360" w:lineRule="auto"/>
        <w:jc w:val="both"/>
        <w:rPr>
          <w:color w:val="000000" w:themeColor="text1"/>
        </w:rPr>
      </w:pPr>
      <w:r w:rsidRPr="00047B4E">
        <w:rPr>
          <w:color w:val="000000" w:themeColor="text1"/>
        </w:rPr>
        <w:t>MONTOYA PARDO, Milton Fernando</w:t>
      </w:r>
    </w:p>
    <w:p w:rsidR="002355F1" w:rsidRPr="00047B4E" w:rsidRDefault="005A478B" w:rsidP="00D936C4">
      <w:pPr>
        <w:spacing w:line="360" w:lineRule="auto"/>
        <w:ind w:left="720" w:hanging="720"/>
        <w:jc w:val="both"/>
        <w:rPr>
          <w:color w:val="000000" w:themeColor="text1"/>
        </w:rPr>
      </w:pPr>
      <w:r w:rsidRPr="00047B4E">
        <w:rPr>
          <w:color w:val="000000" w:themeColor="text1"/>
        </w:rPr>
        <w:t>2012</w:t>
      </w:r>
      <w:r w:rsidRPr="00047B4E">
        <w:rPr>
          <w:color w:val="000000" w:themeColor="text1"/>
        </w:rPr>
        <w:tab/>
        <w:t>Casos de Concentraciones Empresariales en el Sector Enérgetico Europeo. Universidad Externado de Colombia.</w:t>
      </w:r>
    </w:p>
    <w:p w:rsidR="002355F1" w:rsidRPr="00047B4E" w:rsidRDefault="002355F1" w:rsidP="00D936C4">
      <w:pPr>
        <w:spacing w:line="360" w:lineRule="auto"/>
        <w:jc w:val="both"/>
        <w:rPr>
          <w:color w:val="000000" w:themeColor="text1"/>
        </w:rPr>
      </w:pPr>
    </w:p>
    <w:p w:rsidR="002355F1" w:rsidRPr="00047B4E" w:rsidRDefault="002355F1" w:rsidP="00D936C4">
      <w:pPr>
        <w:spacing w:line="360" w:lineRule="auto"/>
        <w:rPr>
          <w:color w:val="000000" w:themeColor="text1"/>
        </w:rPr>
      </w:pPr>
    </w:p>
    <w:p w:rsidR="002355F1" w:rsidRPr="00BB2214" w:rsidRDefault="00CC37BB" w:rsidP="00D936C4">
      <w:pPr>
        <w:spacing w:line="360" w:lineRule="auto"/>
        <w:jc w:val="both"/>
        <w:rPr>
          <w:color w:val="000000" w:themeColor="text1"/>
        </w:rPr>
      </w:pPr>
      <w:r w:rsidRPr="00BB2214">
        <w:rPr>
          <w:color w:val="000000" w:themeColor="text1"/>
        </w:rPr>
        <w:t>MORÓN URBINA</w:t>
      </w:r>
      <w:r w:rsidR="005A478B" w:rsidRPr="00BB2214">
        <w:rPr>
          <w:color w:val="000000" w:themeColor="text1"/>
        </w:rPr>
        <w:t xml:space="preserve"> Juan Carlos. </w:t>
      </w:r>
    </w:p>
    <w:p w:rsidR="002355F1" w:rsidRPr="00047B4E" w:rsidRDefault="005A478B" w:rsidP="00D936C4">
      <w:pPr>
        <w:spacing w:line="360" w:lineRule="auto"/>
        <w:ind w:left="720" w:hanging="720"/>
        <w:rPr>
          <w:color w:val="000000" w:themeColor="text1"/>
          <w:shd w:val="clear" w:color="auto" w:fill="F5F5F5"/>
        </w:rPr>
      </w:pPr>
      <w:r w:rsidRPr="00BB2214">
        <w:rPr>
          <w:color w:val="000000" w:themeColor="text1"/>
          <w:shd w:val="clear" w:color="auto" w:fill="F5F5F5"/>
        </w:rPr>
        <w:t xml:space="preserve">2009 </w:t>
      </w:r>
      <w:r w:rsidRPr="00BB2214">
        <w:rPr>
          <w:color w:val="000000" w:themeColor="text1"/>
          <w:shd w:val="clear" w:color="auto" w:fill="F5F5F5"/>
        </w:rPr>
        <w:tab/>
      </w:r>
      <w:r w:rsidRPr="00BB2214">
        <w:rPr>
          <w:i/>
          <w:color w:val="000000" w:themeColor="text1"/>
        </w:rPr>
        <w:t>Comentarios a la Ley del Procedimiento Administrativo General</w:t>
      </w:r>
      <w:r w:rsidRPr="00BB2214">
        <w:rPr>
          <w:color w:val="000000" w:themeColor="text1"/>
          <w:shd w:val="clear" w:color="auto" w:fill="F5F5F5"/>
        </w:rPr>
        <w:t>. Lima : Gaceta Juridica, 2009.</w:t>
      </w:r>
    </w:p>
    <w:p w:rsidR="002355F1" w:rsidRPr="00047B4E" w:rsidRDefault="002355F1" w:rsidP="00D936C4">
      <w:pPr>
        <w:spacing w:line="360" w:lineRule="auto"/>
        <w:jc w:val="both"/>
        <w:rPr>
          <w:color w:val="000000" w:themeColor="text1"/>
        </w:rPr>
      </w:pPr>
    </w:p>
    <w:p w:rsidR="002355F1" w:rsidRPr="00047B4E" w:rsidRDefault="005A478B" w:rsidP="00D936C4">
      <w:pPr>
        <w:spacing w:line="360" w:lineRule="auto"/>
        <w:jc w:val="both"/>
        <w:rPr>
          <w:color w:val="000000" w:themeColor="text1"/>
        </w:rPr>
      </w:pPr>
      <w:r w:rsidRPr="00047B4E">
        <w:rPr>
          <w:color w:val="000000" w:themeColor="text1"/>
        </w:rPr>
        <w:t xml:space="preserve">OCHOA, César. </w:t>
      </w:r>
    </w:p>
    <w:p w:rsidR="002355F1" w:rsidRPr="00047B4E" w:rsidRDefault="005A478B" w:rsidP="00D936C4">
      <w:pPr>
        <w:spacing w:line="360" w:lineRule="auto"/>
        <w:ind w:left="720" w:hanging="720"/>
        <w:jc w:val="both"/>
        <w:rPr>
          <w:color w:val="000000" w:themeColor="text1"/>
          <w:lang w:val="en-US"/>
        </w:rPr>
      </w:pPr>
      <w:r w:rsidRPr="00047B4E">
        <w:rPr>
          <w:color w:val="000000" w:themeColor="text1"/>
        </w:rPr>
        <w:t xml:space="preserve">1987 </w:t>
      </w:r>
      <w:r w:rsidRPr="00047B4E">
        <w:rPr>
          <w:color w:val="000000" w:themeColor="text1"/>
        </w:rPr>
        <w:tab/>
        <w:t xml:space="preserve">Economía y Constitución. En la Constitución Peruana de 1979 y sus problemas de aplicación, ed. </w:t>
      </w:r>
      <w:r w:rsidRPr="00047B4E">
        <w:rPr>
          <w:color w:val="000000" w:themeColor="text1"/>
          <w:lang w:val="en-US"/>
        </w:rPr>
        <w:t xml:space="preserve">Francisco Eguiguren, 660. </w:t>
      </w:r>
    </w:p>
    <w:p w:rsidR="002355F1" w:rsidRPr="00047B4E" w:rsidRDefault="002355F1" w:rsidP="00D936C4">
      <w:pPr>
        <w:spacing w:line="360" w:lineRule="auto"/>
        <w:jc w:val="both"/>
        <w:rPr>
          <w:color w:val="000000" w:themeColor="text1"/>
          <w:lang w:val="en-US"/>
        </w:rPr>
      </w:pPr>
    </w:p>
    <w:p w:rsidR="002355F1" w:rsidRPr="00047B4E" w:rsidRDefault="005A478B" w:rsidP="00D936C4">
      <w:pPr>
        <w:spacing w:line="360" w:lineRule="auto"/>
        <w:jc w:val="both"/>
        <w:rPr>
          <w:color w:val="000000" w:themeColor="text1"/>
          <w:lang w:val="en-US"/>
        </w:rPr>
      </w:pPr>
      <w:r w:rsidRPr="00047B4E">
        <w:rPr>
          <w:color w:val="000000" w:themeColor="text1"/>
          <w:lang w:val="en-US"/>
        </w:rPr>
        <w:t>OECD</w:t>
      </w:r>
    </w:p>
    <w:p w:rsidR="002355F1" w:rsidRPr="00047B4E" w:rsidRDefault="005A478B" w:rsidP="00D936C4">
      <w:pPr>
        <w:spacing w:line="360" w:lineRule="auto"/>
        <w:ind w:left="720" w:hanging="720"/>
        <w:jc w:val="both"/>
        <w:rPr>
          <w:color w:val="000000" w:themeColor="text1"/>
          <w:sz w:val="22"/>
          <w:szCs w:val="22"/>
        </w:rPr>
      </w:pPr>
      <w:r w:rsidRPr="00047B4E">
        <w:rPr>
          <w:color w:val="000000" w:themeColor="text1"/>
          <w:lang w:val="en-US"/>
        </w:rPr>
        <w:t>2018</w:t>
      </w:r>
      <w:r w:rsidRPr="00047B4E">
        <w:rPr>
          <w:color w:val="000000" w:themeColor="text1"/>
          <w:lang w:val="en-US"/>
        </w:rPr>
        <w:tab/>
        <w:t xml:space="preserve">Documento “Suspensory Effects of Merger Notifications and Gun Jumping - Note by the European Union” del 27 de noviembre de 2018.  </w:t>
      </w:r>
      <w:r w:rsidRPr="00047B4E">
        <w:rPr>
          <w:color w:val="000000" w:themeColor="text1"/>
          <w:sz w:val="22"/>
          <w:szCs w:val="22"/>
        </w:rPr>
        <w:t>Disponible en &lt;http://www.oecd.org/officialdocuments/publicdisplaydocumentpdf/?cote=DAF/COMP/WD(2018)95&amp;docLanguage=En&gt;</w:t>
      </w:r>
    </w:p>
    <w:p w:rsidR="002355F1" w:rsidRPr="00047B4E" w:rsidRDefault="002355F1" w:rsidP="00D936C4">
      <w:pPr>
        <w:spacing w:line="360" w:lineRule="auto"/>
        <w:jc w:val="both"/>
        <w:rPr>
          <w:color w:val="000000" w:themeColor="text1"/>
        </w:rPr>
      </w:pPr>
    </w:p>
    <w:p w:rsidR="002355F1" w:rsidRPr="00047B4E" w:rsidRDefault="005A478B" w:rsidP="00D936C4">
      <w:pPr>
        <w:spacing w:line="360" w:lineRule="auto"/>
        <w:ind w:left="720" w:hanging="720"/>
        <w:jc w:val="both"/>
        <w:rPr>
          <w:color w:val="000000" w:themeColor="text1"/>
        </w:rPr>
      </w:pPr>
      <w:r w:rsidRPr="00047B4E">
        <w:rPr>
          <w:color w:val="000000" w:themeColor="text1"/>
        </w:rPr>
        <w:t>2017</w:t>
      </w:r>
      <w:r w:rsidRPr="00047B4E">
        <w:rPr>
          <w:color w:val="000000" w:themeColor="text1"/>
        </w:rPr>
        <w:tab/>
        <w:t>LATIN AMERICAN AND CARIBBEAN COMPETITION FORUM (Spanish Version) FORO LATINOAMERICANO Y DEL CARIBE DE COMPETENCIA Sesión II: Control de fusiones en América Latina y el Caribe - Evolución y tendencias recientes -- Contribución de Brasil --. Disponible en &lt;</w:t>
      </w:r>
      <w:hyperlink r:id="rId35">
        <w:r w:rsidRPr="00047B4E">
          <w:rPr>
            <w:color w:val="000000" w:themeColor="text1"/>
            <w:u w:val="single"/>
          </w:rPr>
          <w:t>https://one.oecd.org/document/DAF/COMP/LACF(2017)15/es/pdf</w:t>
        </w:r>
      </w:hyperlink>
      <w:r w:rsidRPr="00047B4E">
        <w:rPr>
          <w:color w:val="000000" w:themeColor="text1"/>
        </w:rPr>
        <w:t xml:space="preserve">&gt; </w:t>
      </w:r>
    </w:p>
    <w:p w:rsidR="002355F1" w:rsidRPr="00047B4E" w:rsidRDefault="005A478B" w:rsidP="00D936C4">
      <w:pPr>
        <w:spacing w:line="360" w:lineRule="auto"/>
        <w:rPr>
          <w:color w:val="000000" w:themeColor="text1"/>
          <w:lang w:val="en-US"/>
        </w:rPr>
      </w:pPr>
      <w:r w:rsidRPr="00047B4E">
        <w:rPr>
          <w:color w:val="000000" w:themeColor="text1"/>
          <w:lang w:val="en-US"/>
        </w:rPr>
        <w:t>2001</w:t>
      </w:r>
      <w:r w:rsidRPr="00047B4E">
        <w:rPr>
          <w:color w:val="000000" w:themeColor="text1"/>
          <w:lang w:val="en-US"/>
        </w:rPr>
        <w:tab/>
      </w:r>
      <w:r w:rsidRPr="00047B4E">
        <w:rPr>
          <w:i/>
          <w:color w:val="000000" w:themeColor="text1"/>
          <w:lang w:val="en-US"/>
        </w:rPr>
        <w:t>Portfolio Effects in Conglomerate Mergers.</w:t>
      </w:r>
    </w:p>
    <w:p w:rsidR="002355F1" w:rsidRPr="00047B4E" w:rsidRDefault="005A478B" w:rsidP="00D936C4">
      <w:pPr>
        <w:spacing w:line="360" w:lineRule="auto"/>
        <w:ind w:left="720" w:hanging="720"/>
        <w:rPr>
          <w:color w:val="000000" w:themeColor="text1"/>
        </w:rPr>
      </w:pPr>
      <w:r w:rsidRPr="00047B4E">
        <w:rPr>
          <w:color w:val="000000" w:themeColor="text1"/>
        </w:rPr>
        <w:t xml:space="preserve">2004 </w:t>
      </w:r>
      <w:r w:rsidRPr="00047B4E">
        <w:rPr>
          <w:color w:val="000000" w:themeColor="text1"/>
        </w:rPr>
        <w:tab/>
      </w:r>
      <w:r w:rsidRPr="00047B4E">
        <w:rPr>
          <w:i/>
          <w:color w:val="000000" w:themeColor="text1"/>
        </w:rPr>
        <w:t xml:space="preserve">DERECHO Y POLÍTICA DE LA COMPETENCIA EN PERÚ EXAMEN INTER PARES, </w:t>
      </w:r>
      <w:r w:rsidRPr="00047B4E">
        <w:rPr>
          <w:color w:val="000000" w:themeColor="text1"/>
        </w:rPr>
        <w:t>2004.</w:t>
      </w:r>
    </w:p>
    <w:p w:rsidR="002355F1" w:rsidRPr="00047B4E" w:rsidRDefault="002355F1" w:rsidP="00D936C4">
      <w:pPr>
        <w:spacing w:line="360" w:lineRule="auto"/>
        <w:jc w:val="both"/>
        <w:rPr>
          <w:color w:val="000000" w:themeColor="text1"/>
        </w:rPr>
      </w:pPr>
    </w:p>
    <w:p w:rsidR="002355F1" w:rsidRPr="00047B4E" w:rsidRDefault="005A478B" w:rsidP="00D936C4">
      <w:pPr>
        <w:spacing w:line="360" w:lineRule="auto"/>
        <w:jc w:val="both"/>
        <w:rPr>
          <w:color w:val="000000" w:themeColor="text1"/>
        </w:rPr>
      </w:pPr>
      <w:r w:rsidRPr="00047B4E">
        <w:rPr>
          <w:color w:val="000000" w:themeColor="text1"/>
        </w:rPr>
        <w:t>Organismo Supervisor de la Inversión en Energía y Minería</w:t>
      </w:r>
    </w:p>
    <w:p w:rsidR="002355F1" w:rsidRPr="00047B4E" w:rsidRDefault="005A478B" w:rsidP="00D936C4">
      <w:pPr>
        <w:spacing w:line="360" w:lineRule="auto"/>
        <w:ind w:left="720" w:hanging="720"/>
        <w:jc w:val="both"/>
        <w:rPr>
          <w:color w:val="000000" w:themeColor="text1"/>
        </w:rPr>
      </w:pPr>
      <w:r w:rsidRPr="00047B4E">
        <w:rPr>
          <w:color w:val="000000" w:themeColor="text1"/>
        </w:rPr>
        <w:t>2017</w:t>
      </w:r>
      <w:r w:rsidRPr="00047B4E">
        <w:rPr>
          <w:color w:val="000000" w:themeColor="text1"/>
        </w:rPr>
        <w:tab/>
        <w:t>La industria de la electricidad en el Perú: 25 años de aportes al crecimiento económico del país. Primera edición. Lima</w:t>
      </w:r>
      <w:r w:rsidR="00047B4E">
        <w:rPr>
          <w:color w:val="000000" w:themeColor="text1"/>
        </w:rPr>
        <w:t>.</w:t>
      </w:r>
    </w:p>
    <w:p w:rsidR="002355F1" w:rsidRPr="00047B4E" w:rsidRDefault="002355F1" w:rsidP="00D936C4">
      <w:pPr>
        <w:pBdr>
          <w:top w:val="nil"/>
          <w:left w:val="nil"/>
          <w:bottom w:val="nil"/>
          <w:right w:val="nil"/>
          <w:between w:val="nil"/>
        </w:pBdr>
        <w:spacing w:line="360" w:lineRule="auto"/>
        <w:jc w:val="both"/>
        <w:rPr>
          <w:color w:val="000000" w:themeColor="text1"/>
        </w:rPr>
      </w:pPr>
    </w:p>
    <w:p w:rsidR="002355F1" w:rsidRPr="00047B4E" w:rsidRDefault="005A478B" w:rsidP="00D936C4">
      <w:pPr>
        <w:spacing w:line="360" w:lineRule="auto"/>
        <w:jc w:val="both"/>
        <w:rPr>
          <w:color w:val="000000" w:themeColor="text1"/>
        </w:rPr>
      </w:pPr>
      <w:r w:rsidRPr="00047B4E">
        <w:rPr>
          <w:color w:val="000000" w:themeColor="text1"/>
        </w:rPr>
        <w:t xml:space="preserve">PÉREZ MOLINA, Mario Antonio </w:t>
      </w:r>
    </w:p>
    <w:p w:rsidR="002355F1" w:rsidRDefault="005A478B" w:rsidP="00D936C4">
      <w:pPr>
        <w:spacing w:line="360" w:lineRule="auto"/>
        <w:ind w:left="720" w:hanging="720"/>
        <w:jc w:val="both"/>
        <w:rPr>
          <w:color w:val="000000" w:themeColor="text1"/>
        </w:rPr>
      </w:pPr>
      <w:r w:rsidRPr="00047B4E">
        <w:rPr>
          <w:color w:val="000000" w:themeColor="text1"/>
        </w:rPr>
        <w:t>2015</w:t>
      </w:r>
      <w:r w:rsidRPr="00047B4E">
        <w:rPr>
          <w:color w:val="000000" w:themeColor="text1"/>
        </w:rPr>
        <w:tab/>
        <w:t>LA EVALUACIÓN ANTITRUST DE LAS CONCENTRACIONES DE EMPRESAS EN LA UNIÓN EUROPEA. Tesis doctoral de Universidad de Córdova.</w:t>
      </w:r>
    </w:p>
    <w:p w:rsidR="00BB2214" w:rsidRDefault="00BB2214" w:rsidP="00D936C4">
      <w:pPr>
        <w:spacing w:line="360" w:lineRule="auto"/>
        <w:ind w:left="720" w:hanging="720"/>
        <w:jc w:val="both"/>
        <w:rPr>
          <w:color w:val="000000" w:themeColor="text1"/>
        </w:rPr>
      </w:pPr>
    </w:p>
    <w:p w:rsidR="00BB2214" w:rsidRDefault="00BB2214" w:rsidP="00D936C4">
      <w:pPr>
        <w:spacing w:line="360" w:lineRule="auto"/>
        <w:ind w:left="720" w:hanging="720"/>
        <w:jc w:val="both"/>
        <w:rPr>
          <w:color w:val="000000" w:themeColor="text1"/>
        </w:rPr>
      </w:pPr>
      <w:r>
        <w:rPr>
          <w:color w:val="000000" w:themeColor="text1"/>
        </w:rPr>
        <w:t>PRESIDECIA DE CONSEJO DE MINISTROS</w:t>
      </w:r>
    </w:p>
    <w:p w:rsidR="00BB2214" w:rsidRPr="00BB2214" w:rsidRDefault="00BB2214" w:rsidP="00D936C4">
      <w:pPr>
        <w:spacing w:line="360" w:lineRule="auto"/>
        <w:ind w:left="720" w:hanging="720"/>
        <w:jc w:val="both"/>
        <w:rPr>
          <w:color w:val="000000" w:themeColor="text1"/>
        </w:rPr>
      </w:pPr>
      <w:r w:rsidRPr="00BB2214">
        <w:rPr>
          <w:color w:val="000000" w:themeColor="text1"/>
        </w:rPr>
        <w:t>2008</w:t>
      </w:r>
      <w:r w:rsidRPr="00BB2214">
        <w:rPr>
          <w:color w:val="000000" w:themeColor="text1"/>
        </w:rPr>
        <w:tab/>
      </w:r>
      <w:r w:rsidRPr="00BB2214">
        <w:rPr>
          <w:color w:val="000000"/>
        </w:rPr>
        <w:t xml:space="preserve">Exposición de Motivos del Decreto Legislativo 1034. </w:t>
      </w:r>
    </w:p>
    <w:p w:rsidR="002355F1" w:rsidRDefault="00BB2214" w:rsidP="00D936C4">
      <w:pPr>
        <w:spacing w:line="360" w:lineRule="auto"/>
        <w:rPr>
          <w:color w:val="000000" w:themeColor="text1"/>
        </w:rPr>
      </w:pPr>
      <w:r>
        <w:rPr>
          <w:color w:val="000000" w:themeColor="text1"/>
        </w:rPr>
        <w:t>2008</w:t>
      </w:r>
      <w:r>
        <w:rPr>
          <w:color w:val="000000" w:themeColor="text1"/>
        </w:rPr>
        <w:tab/>
        <w:t>Decreto Legislativo 1034</w:t>
      </w:r>
    </w:p>
    <w:p w:rsidR="00BB2214" w:rsidRPr="00047B4E" w:rsidRDefault="00BB2214" w:rsidP="00D936C4">
      <w:pPr>
        <w:spacing w:line="360" w:lineRule="auto"/>
        <w:rPr>
          <w:color w:val="000000" w:themeColor="text1"/>
        </w:rPr>
      </w:pPr>
    </w:p>
    <w:p w:rsidR="002355F1" w:rsidRPr="00047B4E" w:rsidRDefault="005A478B" w:rsidP="00D936C4">
      <w:pPr>
        <w:spacing w:line="360" w:lineRule="auto"/>
        <w:rPr>
          <w:color w:val="000000" w:themeColor="text1"/>
        </w:rPr>
      </w:pPr>
      <w:r w:rsidRPr="00047B4E">
        <w:rPr>
          <w:color w:val="000000" w:themeColor="text1"/>
        </w:rPr>
        <w:t xml:space="preserve">QUINTANA, Eduardo. </w:t>
      </w:r>
    </w:p>
    <w:p w:rsidR="002355F1" w:rsidRPr="00047B4E" w:rsidRDefault="005A478B" w:rsidP="00D936C4">
      <w:pPr>
        <w:spacing w:line="360" w:lineRule="auto"/>
        <w:rPr>
          <w:color w:val="000000" w:themeColor="text1"/>
          <w:lang w:val="en-US"/>
        </w:rPr>
      </w:pPr>
      <w:r w:rsidRPr="00047B4E">
        <w:rPr>
          <w:color w:val="000000" w:themeColor="text1"/>
        </w:rPr>
        <w:t>2013</w:t>
      </w:r>
      <w:r w:rsidRPr="00047B4E">
        <w:rPr>
          <w:color w:val="000000" w:themeColor="text1"/>
        </w:rPr>
        <w:tab/>
        <w:t xml:space="preserve">Libre Competencia. </w:t>
      </w:r>
      <w:r w:rsidRPr="00047B4E">
        <w:rPr>
          <w:color w:val="000000" w:themeColor="text1"/>
          <w:lang w:val="en-US"/>
        </w:rPr>
        <w:t xml:space="preserve">2013, Indecopi. </w:t>
      </w:r>
    </w:p>
    <w:p w:rsidR="002355F1" w:rsidRPr="00047B4E" w:rsidRDefault="002355F1" w:rsidP="00D936C4">
      <w:pPr>
        <w:spacing w:line="360" w:lineRule="auto"/>
        <w:jc w:val="both"/>
        <w:rPr>
          <w:color w:val="000000" w:themeColor="text1"/>
          <w:lang w:val="en-US"/>
        </w:rPr>
      </w:pPr>
    </w:p>
    <w:p w:rsidR="002355F1" w:rsidRPr="00047B4E" w:rsidRDefault="005A478B" w:rsidP="00D936C4">
      <w:pPr>
        <w:spacing w:line="360" w:lineRule="auto"/>
        <w:rPr>
          <w:color w:val="000000" w:themeColor="text1"/>
          <w:lang w:val="en-US"/>
        </w:rPr>
      </w:pPr>
      <w:r w:rsidRPr="00047B4E">
        <w:rPr>
          <w:color w:val="000000" w:themeColor="text1"/>
          <w:lang w:val="en-US"/>
        </w:rPr>
        <w:t xml:space="preserve">RIORDIAN, Michael </w:t>
      </w:r>
    </w:p>
    <w:p w:rsidR="002355F1" w:rsidRPr="00047B4E" w:rsidRDefault="005A478B" w:rsidP="00D936C4">
      <w:pPr>
        <w:spacing w:line="360" w:lineRule="auto"/>
        <w:ind w:left="720" w:hanging="720"/>
        <w:rPr>
          <w:color w:val="000000" w:themeColor="text1"/>
          <w:lang w:val="en-US"/>
        </w:rPr>
      </w:pPr>
      <w:r w:rsidRPr="00047B4E">
        <w:rPr>
          <w:color w:val="000000" w:themeColor="text1"/>
          <w:lang w:val="en-US"/>
        </w:rPr>
        <w:t>2008</w:t>
      </w:r>
      <w:r w:rsidRPr="00047B4E">
        <w:rPr>
          <w:color w:val="000000" w:themeColor="text1"/>
          <w:lang w:val="en-US"/>
        </w:rPr>
        <w:tab/>
      </w:r>
      <w:r w:rsidRPr="00047B4E">
        <w:rPr>
          <w:i/>
          <w:color w:val="000000" w:themeColor="text1"/>
          <w:lang w:val="en-US"/>
        </w:rPr>
        <w:t>Competitive Effects of Vertical Integration</w:t>
      </w:r>
      <w:r w:rsidRPr="00047B4E">
        <w:rPr>
          <w:color w:val="000000" w:themeColor="text1"/>
          <w:lang w:val="en-US"/>
        </w:rPr>
        <w:t>. En: Paolo Buccirossi (editor), Handbook of Antitrust Economics, Cap 4, 2008.</w:t>
      </w:r>
    </w:p>
    <w:p w:rsidR="002355F1" w:rsidRPr="00047B4E" w:rsidRDefault="002355F1" w:rsidP="00D936C4">
      <w:pPr>
        <w:spacing w:line="360" w:lineRule="auto"/>
        <w:rPr>
          <w:color w:val="000000" w:themeColor="text1"/>
          <w:lang w:val="en-US"/>
        </w:rPr>
      </w:pPr>
    </w:p>
    <w:p w:rsidR="002355F1" w:rsidRPr="00047B4E" w:rsidRDefault="002355F1" w:rsidP="00D936C4">
      <w:pPr>
        <w:spacing w:line="360" w:lineRule="auto"/>
        <w:rPr>
          <w:color w:val="000000" w:themeColor="text1"/>
          <w:lang w:val="en-US"/>
        </w:rPr>
      </w:pPr>
    </w:p>
    <w:p w:rsidR="002355F1" w:rsidRPr="00047B4E" w:rsidRDefault="005A478B" w:rsidP="00D936C4">
      <w:pPr>
        <w:spacing w:line="360" w:lineRule="auto"/>
        <w:jc w:val="both"/>
        <w:rPr>
          <w:color w:val="000000" w:themeColor="text1"/>
        </w:rPr>
      </w:pPr>
      <w:r w:rsidRPr="00047B4E">
        <w:rPr>
          <w:color w:val="000000" w:themeColor="text1"/>
        </w:rPr>
        <w:t>SERRANO PINILLA, Felipe</w:t>
      </w:r>
    </w:p>
    <w:p w:rsidR="002355F1" w:rsidRPr="00047B4E" w:rsidRDefault="005A478B" w:rsidP="00D936C4">
      <w:pPr>
        <w:spacing w:line="360" w:lineRule="auto"/>
        <w:ind w:left="720" w:hanging="720"/>
        <w:jc w:val="both"/>
        <w:rPr>
          <w:color w:val="000000" w:themeColor="text1"/>
        </w:rPr>
      </w:pPr>
      <w:r w:rsidRPr="00047B4E">
        <w:rPr>
          <w:color w:val="000000" w:themeColor="text1"/>
        </w:rPr>
        <w:t>2014</w:t>
      </w:r>
      <w:r w:rsidRPr="00047B4E">
        <w:rPr>
          <w:color w:val="000000" w:themeColor="text1"/>
        </w:rPr>
        <w:tab/>
        <w:t>El Concepto de Control en el Régimen Colombiano de Integraciones de Empresariales y Sus Implicaciones Frente a la Adquisición de Particpaciones Minoritarias. Disponible en Revista de Derecho de la Competencia, volumen 10. Bogotá, páginas 457-498.</w:t>
      </w:r>
    </w:p>
    <w:p w:rsidR="002355F1" w:rsidRPr="00047B4E" w:rsidRDefault="002355F1" w:rsidP="00D936C4">
      <w:pPr>
        <w:spacing w:line="360" w:lineRule="auto"/>
        <w:jc w:val="both"/>
        <w:rPr>
          <w:color w:val="000000" w:themeColor="text1"/>
        </w:rPr>
      </w:pPr>
    </w:p>
    <w:p w:rsidR="002355F1" w:rsidRPr="00047B4E" w:rsidRDefault="005A478B" w:rsidP="00D936C4">
      <w:pPr>
        <w:pBdr>
          <w:top w:val="nil"/>
          <w:left w:val="nil"/>
          <w:bottom w:val="nil"/>
          <w:right w:val="nil"/>
          <w:between w:val="nil"/>
        </w:pBdr>
        <w:spacing w:line="360" w:lineRule="auto"/>
        <w:jc w:val="both"/>
        <w:rPr>
          <w:color w:val="000000" w:themeColor="text1"/>
        </w:rPr>
      </w:pPr>
      <w:r w:rsidRPr="00047B4E">
        <w:rPr>
          <w:color w:val="000000" w:themeColor="text1"/>
        </w:rPr>
        <w:t xml:space="preserve">TELLO, Mario. </w:t>
      </w:r>
    </w:p>
    <w:p w:rsidR="002355F1" w:rsidRPr="00047B4E" w:rsidRDefault="005A478B" w:rsidP="00D936C4">
      <w:pPr>
        <w:pBdr>
          <w:top w:val="nil"/>
          <w:left w:val="nil"/>
          <w:bottom w:val="nil"/>
          <w:right w:val="nil"/>
          <w:between w:val="nil"/>
        </w:pBdr>
        <w:spacing w:line="360" w:lineRule="auto"/>
        <w:ind w:left="720" w:hanging="720"/>
        <w:jc w:val="both"/>
        <w:rPr>
          <w:color w:val="000000" w:themeColor="text1"/>
          <w:sz w:val="20"/>
          <w:szCs w:val="20"/>
        </w:rPr>
      </w:pPr>
      <w:r w:rsidRPr="00047B4E">
        <w:rPr>
          <w:color w:val="000000" w:themeColor="text1"/>
        </w:rPr>
        <w:t>2008</w:t>
      </w:r>
      <w:r w:rsidRPr="00047B4E">
        <w:rPr>
          <w:color w:val="000000" w:themeColor="text1"/>
        </w:rPr>
        <w:tab/>
        <w:t>El funcionamiento de los mercados y sus distorsiones principales: Un enfoque de equilibrio parcial. Lima, 2008</w:t>
      </w:r>
      <w:r w:rsidR="00047B4E" w:rsidRPr="00047B4E">
        <w:rPr>
          <w:color w:val="000000" w:themeColor="text1"/>
        </w:rPr>
        <w:t>.</w:t>
      </w:r>
    </w:p>
    <w:p w:rsidR="002355F1" w:rsidRPr="00047B4E" w:rsidRDefault="002355F1" w:rsidP="00D936C4">
      <w:pPr>
        <w:spacing w:line="360" w:lineRule="auto"/>
        <w:jc w:val="both"/>
        <w:rPr>
          <w:color w:val="000000" w:themeColor="text1"/>
        </w:rPr>
      </w:pPr>
    </w:p>
    <w:p w:rsidR="002355F1" w:rsidRPr="00047B4E" w:rsidRDefault="005A478B" w:rsidP="00D936C4">
      <w:pPr>
        <w:spacing w:line="360" w:lineRule="auto"/>
        <w:rPr>
          <w:color w:val="000000" w:themeColor="text1"/>
        </w:rPr>
      </w:pPr>
      <w:r w:rsidRPr="00047B4E">
        <w:rPr>
          <w:color w:val="000000" w:themeColor="text1"/>
        </w:rPr>
        <w:lastRenderedPageBreak/>
        <w:t>Tribunal Constitucional del Perú</w:t>
      </w:r>
    </w:p>
    <w:p w:rsidR="002355F1" w:rsidRPr="00047B4E" w:rsidRDefault="005A478B" w:rsidP="00D936C4">
      <w:pPr>
        <w:spacing w:after="380" w:line="360" w:lineRule="auto"/>
        <w:jc w:val="both"/>
        <w:rPr>
          <w:color w:val="000000" w:themeColor="text1"/>
        </w:rPr>
      </w:pPr>
      <w:r w:rsidRPr="00047B4E">
        <w:rPr>
          <w:color w:val="000000" w:themeColor="text1"/>
        </w:rPr>
        <w:t>2003</w:t>
      </w:r>
      <w:r w:rsidRPr="00047B4E">
        <w:rPr>
          <w:color w:val="000000" w:themeColor="text1"/>
        </w:rPr>
        <w:tab/>
        <w:t>Sentencia del 16 de abril de 2003, Expediente 2050-2002-AA/TC.</w:t>
      </w:r>
    </w:p>
    <w:p w:rsidR="002355F1" w:rsidRPr="00047B4E" w:rsidRDefault="005A478B" w:rsidP="00D936C4">
      <w:pPr>
        <w:spacing w:after="380" w:line="360" w:lineRule="auto"/>
        <w:jc w:val="both"/>
        <w:rPr>
          <w:color w:val="000000" w:themeColor="text1"/>
        </w:rPr>
      </w:pPr>
      <w:r w:rsidRPr="00047B4E">
        <w:rPr>
          <w:color w:val="000000" w:themeColor="text1"/>
        </w:rPr>
        <w:t>2004</w:t>
      </w:r>
      <w:r w:rsidRPr="00047B4E">
        <w:rPr>
          <w:color w:val="000000" w:themeColor="text1"/>
        </w:rPr>
        <w:tab/>
        <w:t>Sentencia del 2 de agosto de 2004, Expediente 1199-2003-AA/TC.</w:t>
      </w:r>
    </w:p>
    <w:p w:rsidR="002355F1" w:rsidRPr="00047B4E" w:rsidRDefault="005A478B" w:rsidP="00D936C4">
      <w:pPr>
        <w:spacing w:after="380" w:line="360" w:lineRule="auto"/>
        <w:jc w:val="both"/>
        <w:rPr>
          <w:color w:val="000000" w:themeColor="text1"/>
        </w:rPr>
      </w:pPr>
      <w:r w:rsidRPr="00047B4E">
        <w:rPr>
          <w:color w:val="000000" w:themeColor="text1"/>
        </w:rPr>
        <w:t>2004</w:t>
      </w:r>
      <w:r w:rsidRPr="00047B4E">
        <w:rPr>
          <w:color w:val="000000" w:themeColor="text1"/>
        </w:rPr>
        <w:tab/>
        <w:t>Sentencia del 3 de agosto de 2004 recaída en el Expediente 1654-2004-AA/TC.</w:t>
      </w:r>
    </w:p>
    <w:p w:rsidR="002355F1" w:rsidRPr="00047B4E" w:rsidRDefault="005A478B" w:rsidP="00D936C4">
      <w:pPr>
        <w:spacing w:line="360" w:lineRule="auto"/>
        <w:jc w:val="both"/>
        <w:rPr>
          <w:color w:val="000000" w:themeColor="text1"/>
        </w:rPr>
      </w:pPr>
      <w:r w:rsidRPr="00047B4E">
        <w:rPr>
          <w:color w:val="000000" w:themeColor="text1"/>
        </w:rPr>
        <w:t>2014</w:t>
      </w:r>
      <w:r w:rsidRPr="00047B4E">
        <w:rPr>
          <w:color w:val="000000" w:themeColor="text1"/>
        </w:rPr>
        <w:tab/>
        <w:t xml:space="preserve">Sentencia del 11 de octubre de 2014, Expediente 2192-2004-AA/TC. </w:t>
      </w:r>
    </w:p>
    <w:p w:rsidR="002355F1" w:rsidRPr="00047B4E" w:rsidRDefault="005A478B" w:rsidP="00D936C4">
      <w:pPr>
        <w:spacing w:line="360" w:lineRule="auto"/>
        <w:ind w:left="720" w:hanging="720"/>
        <w:rPr>
          <w:color w:val="000000" w:themeColor="text1"/>
        </w:rPr>
      </w:pPr>
      <w:r w:rsidRPr="00047B4E">
        <w:rPr>
          <w:color w:val="000000" w:themeColor="text1"/>
        </w:rPr>
        <w:t>2010</w:t>
      </w:r>
      <w:r w:rsidRPr="00047B4E">
        <w:rPr>
          <w:color w:val="000000" w:themeColor="text1"/>
        </w:rPr>
        <w:tab/>
      </w:r>
      <w:r w:rsidRPr="00047B4E">
        <w:rPr>
          <w:color w:val="000000" w:themeColor="text1"/>
          <w:highlight w:val="white"/>
        </w:rPr>
        <w:t>Sentencia del Tribunal Constitucional recaída en el Expediente Nº 04173-2010-PA/TC.</w:t>
      </w:r>
    </w:p>
    <w:p w:rsidR="002355F1" w:rsidRPr="00047B4E" w:rsidRDefault="005A478B" w:rsidP="00D936C4">
      <w:pPr>
        <w:spacing w:after="380" w:line="360" w:lineRule="auto"/>
        <w:jc w:val="both"/>
        <w:rPr>
          <w:color w:val="000000" w:themeColor="text1"/>
          <w:highlight w:val="white"/>
        </w:rPr>
      </w:pPr>
      <w:r w:rsidRPr="00047B4E">
        <w:rPr>
          <w:color w:val="000000" w:themeColor="text1"/>
          <w:highlight w:val="white"/>
        </w:rPr>
        <w:t>2011</w:t>
      </w:r>
      <w:r w:rsidRPr="00047B4E">
        <w:rPr>
          <w:color w:val="000000" w:themeColor="text1"/>
          <w:highlight w:val="white"/>
        </w:rPr>
        <w:tab/>
        <w:t xml:space="preserve">Sentencia del 12 de julio de 2011, Expediente 04173-2010-PA/TC. </w:t>
      </w:r>
    </w:p>
    <w:p w:rsidR="00BE0C67" w:rsidRDefault="00BE0C67" w:rsidP="00D936C4">
      <w:pPr>
        <w:spacing w:line="360" w:lineRule="auto"/>
        <w:ind w:left="720" w:hanging="720"/>
        <w:rPr>
          <w:color w:val="000000" w:themeColor="text1"/>
          <w:highlight w:val="white"/>
        </w:rPr>
      </w:pPr>
      <w:r w:rsidRPr="00BE0C67">
        <w:rPr>
          <w:color w:val="000000" w:themeColor="text1"/>
          <w:highlight w:val="white"/>
        </w:rPr>
        <w:t>GARRIDO FALLA, Fernando</w:t>
      </w:r>
    </w:p>
    <w:p w:rsidR="00BE0C67" w:rsidRPr="00BE0C67" w:rsidRDefault="00BE0C67" w:rsidP="00D936C4">
      <w:pPr>
        <w:spacing w:line="360" w:lineRule="auto"/>
        <w:ind w:left="720" w:hanging="720"/>
        <w:rPr>
          <w:color w:val="000000" w:themeColor="text1"/>
          <w:highlight w:val="white"/>
        </w:rPr>
      </w:pPr>
      <w:r>
        <w:rPr>
          <w:color w:val="000000" w:themeColor="text1"/>
          <w:highlight w:val="white"/>
        </w:rPr>
        <w:t>1959</w:t>
      </w:r>
      <w:r>
        <w:rPr>
          <w:color w:val="000000" w:themeColor="text1"/>
          <w:highlight w:val="white"/>
        </w:rPr>
        <w:tab/>
      </w:r>
      <w:r w:rsidRPr="00BE0C67">
        <w:rPr>
          <w:color w:val="000000" w:themeColor="text1"/>
          <w:highlight w:val="white"/>
        </w:rPr>
        <w:t xml:space="preserve">Los medios de la policía y la teoría de las sanciones administrativas en </w:t>
      </w:r>
      <w:hyperlink r:id="rId36" w:history="1">
        <w:r w:rsidRPr="00BE0C67">
          <w:rPr>
            <w:color w:val="000000" w:themeColor="text1"/>
            <w:highlight w:val="white"/>
          </w:rPr>
          <w:t>Revista de administración pública</w:t>
        </w:r>
      </w:hyperlink>
      <w:r w:rsidRPr="00BE0C67">
        <w:rPr>
          <w:color w:val="000000" w:themeColor="text1"/>
          <w:highlight w:val="white"/>
        </w:rPr>
        <w:t>, ISSN 0034-7639, </w:t>
      </w:r>
      <w:hyperlink r:id="rId37" w:history="1">
        <w:r w:rsidRPr="00BE0C67">
          <w:rPr>
            <w:color w:val="000000" w:themeColor="text1"/>
            <w:highlight w:val="white"/>
          </w:rPr>
          <w:t>Nº 28, 1959</w:t>
        </w:r>
      </w:hyperlink>
      <w:r w:rsidRPr="00BE0C67">
        <w:rPr>
          <w:color w:val="000000" w:themeColor="text1"/>
          <w:highlight w:val="white"/>
        </w:rPr>
        <w:t>, págs. 11-50</w:t>
      </w:r>
      <w:r>
        <w:rPr>
          <w:color w:val="000000" w:themeColor="text1"/>
          <w:highlight w:val="white"/>
        </w:rPr>
        <w:t>.</w:t>
      </w:r>
    </w:p>
    <w:p w:rsidR="00BE0C67" w:rsidRDefault="00BE0C67" w:rsidP="00D936C4">
      <w:pPr>
        <w:spacing w:line="360" w:lineRule="auto"/>
        <w:rPr>
          <w:color w:val="000000" w:themeColor="text1"/>
          <w:highlight w:val="white"/>
        </w:rPr>
      </w:pPr>
    </w:p>
    <w:p w:rsidR="00047B4E" w:rsidRPr="00047B4E" w:rsidRDefault="005A478B" w:rsidP="00D936C4">
      <w:pPr>
        <w:spacing w:line="360" w:lineRule="auto"/>
        <w:rPr>
          <w:color w:val="000000" w:themeColor="text1"/>
          <w:highlight w:val="white"/>
        </w:rPr>
      </w:pPr>
      <w:r w:rsidRPr="00047B4E">
        <w:rPr>
          <w:color w:val="000000" w:themeColor="text1"/>
          <w:highlight w:val="white"/>
        </w:rPr>
        <w:t>SANTIVÁÑEZ SEMINARIO, Ricardo y Paul SUMAR Gilt</w:t>
      </w:r>
    </w:p>
    <w:p w:rsidR="002355F1" w:rsidRPr="00047B4E" w:rsidRDefault="005A478B" w:rsidP="00D936C4">
      <w:pPr>
        <w:spacing w:line="360" w:lineRule="auto"/>
        <w:ind w:left="720" w:hanging="720"/>
        <w:rPr>
          <w:color w:val="000000" w:themeColor="text1"/>
          <w:highlight w:val="white"/>
        </w:rPr>
      </w:pPr>
      <w:r w:rsidRPr="00047B4E">
        <w:rPr>
          <w:color w:val="000000" w:themeColor="text1"/>
          <w:highlight w:val="white"/>
        </w:rPr>
        <w:t>2012</w:t>
      </w:r>
      <w:r w:rsidRPr="00047B4E">
        <w:rPr>
          <w:color w:val="000000" w:themeColor="text1"/>
          <w:highlight w:val="white"/>
        </w:rPr>
        <w:tab/>
        <w:t xml:space="preserve">Cuarenta años de evolución del marco legal peruano de la transmisión eléctrica. Disponible en </w:t>
      </w:r>
      <w:hyperlink r:id="rId38">
        <w:r w:rsidRPr="00047B4E">
          <w:rPr>
            <w:color w:val="000000" w:themeColor="text1"/>
            <w:highlight w:val="white"/>
            <w:u w:val="single"/>
          </w:rPr>
          <w:t>http://www.santivanez.com.pe/wp-content/uploads/2012/07/04transmicion-electrica.pdf</w:t>
        </w:r>
      </w:hyperlink>
    </w:p>
    <w:p w:rsidR="002355F1" w:rsidRPr="00A166C6" w:rsidRDefault="002355F1" w:rsidP="00D936C4">
      <w:pPr>
        <w:spacing w:line="360" w:lineRule="auto"/>
        <w:rPr>
          <w:color w:val="000000" w:themeColor="text1"/>
          <w:highlight w:val="white"/>
        </w:rPr>
      </w:pPr>
      <w:bookmarkStart w:id="53" w:name="_heading=h.2p2csry" w:colFirst="0" w:colLast="0"/>
      <w:bookmarkEnd w:id="53"/>
    </w:p>
    <w:p w:rsidR="00872443" w:rsidRPr="00872443" w:rsidRDefault="00872443" w:rsidP="00D936C4">
      <w:pPr>
        <w:spacing w:line="360" w:lineRule="auto"/>
        <w:rPr>
          <w:color w:val="000000" w:themeColor="text1"/>
          <w:highlight w:val="white"/>
        </w:rPr>
      </w:pPr>
      <w:r>
        <w:rPr>
          <w:color w:val="000000" w:themeColor="text1"/>
          <w:highlight w:val="white"/>
        </w:rPr>
        <w:t xml:space="preserve">SECRETARÍA TÉCNICA DE LA COMISIÓN DE DEFENSA DE LA LIBRE </w:t>
      </w:r>
      <w:r w:rsidRPr="00872443">
        <w:rPr>
          <w:color w:val="000000" w:themeColor="text1"/>
          <w:highlight w:val="white"/>
        </w:rPr>
        <w:t>COMPETENCIA</w:t>
      </w:r>
    </w:p>
    <w:p w:rsidR="00872443" w:rsidRPr="00872443" w:rsidRDefault="00872443" w:rsidP="00D936C4">
      <w:pPr>
        <w:spacing w:line="360" w:lineRule="auto"/>
        <w:ind w:left="720" w:hanging="720"/>
      </w:pPr>
      <w:r w:rsidRPr="00872443">
        <w:rPr>
          <w:color w:val="000000"/>
        </w:rPr>
        <w:t>2019</w:t>
      </w:r>
      <w:r w:rsidRPr="00872443">
        <w:rPr>
          <w:color w:val="000000"/>
        </w:rPr>
        <w:tab/>
        <w:t>Informe 039-2019/</w:t>
      </w:r>
      <w:r w:rsidRPr="00872443">
        <w:t xml:space="preserve">ST-CLC-INDECOPI </w:t>
      </w:r>
    </w:p>
    <w:p w:rsidR="00872443" w:rsidRPr="00872443" w:rsidRDefault="00872443" w:rsidP="00D936C4">
      <w:pPr>
        <w:spacing w:line="360" w:lineRule="auto"/>
        <w:ind w:left="720" w:hanging="720"/>
      </w:pPr>
      <w:r w:rsidRPr="00872443">
        <w:t>2001</w:t>
      </w:r>
      <w:r w:rsidRPr="00872443">
        <w:tab/>
        <w:t>Informe 011 -2001-INDECOPI/CLC</w:t>
      </w:r>
    </w:p>
    <w:p w:rsidR="00872443" w:rsidRDefault="00872443" w:rsidP="00D936C4">
      <w:pPr>
        <w:spacing w:line="360" w:lineRule="auto"/>
        <w:ind w:left="720" w:hanging="720"/>
        <w:rPr>
          <w:color w:val="000000" w:themeColor="text1"/>
          <w:highlight w:val="white"/>
        </w:rPr>
      </w:pPr>
    </w:p>
    <w:p w:rsidR="00A166C6" w:rsidRPr="00A166C6" w:rsidRDefault="00A166C6" w:rsidP="00D936C4">
      <w:pPr>
        <w:spacing w:line="360" w:lineRule="auto"/>
        <w:ind w:left="720" w:hanging="720"/>
        <w:rPr>
          <w:color w:val="000000" w:themeColor="text1"/>
          <w:highlight w:val="white"/>
        </w:rPr>
      </w:pPr>
      <w:r w:rsidRPr="00A166C6">
        <w:rPr>
          <w:color w:val="000000" w:themeColor="text1"/>
          <w:highlight w:val="white"/>
        </w:rPr>
        <w:t>SUPERINTEDENCIA DE INDUSTRIA Y COMERCIO DE COLOMBIA</w:t>
      </w:r>
    </w:p>
    <w:p w:rsidR="00A166C6" w:rsidRPr="00A166C6" w:rsidRDefault="00A166C6" w:rsidP="00D936C4">
      <w:pPr>
        <w:spacing w:line="360" w:lineRule="auto"/>
        <w:ind w:left="720" w:hanging="720"/>
        <w:rPr>
          <w:color w:val="000000" w:themeColor="text1"/>
          <w:highlight w:val="white"/>
        </w:rPr>
      </w:pPr>
      <w:r w:rsidRPr="00A166C6">
        <w:rPr>
          <w:color w:val="000000" w:themeColor="text1"/>
          <w:highlight w:val="white"/>
        </w:rPr>
        <w:t>2015</w:t>
      </w:r>
      <w:r w:rsidRPr="00A166C6">
        <w:rPr>
          <w:color w:val="000000" w:themeColor="text1"/>
          <w:highlight w:val="white"/>
        </w:rPr>
        <w:tab/>
        <w:t>Resolución 10930 de 2015.</w:t>
      </w:r>
    </w:p>
    <w:p w:rsidR="00A166C6" w:rsidRDefault="00A166C6" w:rsidP="00D936C4">
      <w:pPr>
        <w:spacing w:line="360" w:lineRule="auto"/>
        <w:rPr>
          <w:color w:val="000000" w:themeColor="text1"/>
        </w:rPr>
      </w:pPr>
    </w:p>
    <w:p w:rsidR="002355F1" w:rsidRPr="00047B4E" w:rsidRDefault="005A478B" w:rsidP="00D936C4">
      <w:pPr>
        <w:spacing w:line="360" w:lineRule="auto"/>
        <w:rPr>
          <w:color w:val="000000" w:themeColor="text1"/>
        </w:rPr>
      </w:pPr>
      <w:r w:rsidRPr="00047B4E">
        <w:rPr>
          <w:color w:val="000000" w:themeColor="text1"/>
        </w:rPr>
        <w:t xml:space="preserve">TÁVARA MARTÍN, José Ignacio y DIEZ CANSECO NÚÑEZ, Luis José. </w:t>
      </w:r>
    </w:p>
    <w:p w:rsidR="002355F1" w:rsidRPr="00047B4E" w:rsidRDefault="005A478B" w:rsidP="00D936C4">
      <w:pPr>
        <w:spacing w:line="360" w:lineRule="auto"/>
        <w:ind w:left="720" w:hanging="720"/>
        <w:rPr>
          <w:color w:val="000000" w:themeColor="text1"/>
        </w:rPr>
      </w:pPr>
      <w:r w:rsidRPr="00047B4E">
        <w:rPr>
          <w:color w:val="000000" w:themeColor="text1"/>
        </w:rPr>
        <w:t>2003</w:t>
      </w:r>
      <w:r w:rsidRPr="00047B4E">
        <w:rPr>
          <w:color w:val="000000" w:themeColor="text1"/>
        </w:rPr>
        <w:tab/>
      </w:r>
      <w:r w:rsidRPr="00047B4E">
        <w:rPr>
          <w:i/>
          <w:color w:val="000000" w:themeColor="text1"/>
        </w:rPr>
        <w:t>Estabilizando en el Péndulo. Control de  Concentraciones y Fusiones en el Perú</w:t>
      </w:r>
      <w:r w:rsidRPr="00047B4E">
        <w:rPr>
          <w:color w:val="000000" w:themeColor="text1"/>
        </w:rPr>
        <w:t xml:space="preserve">. En: THEMIS, Época 2, Año 2003, Número 47, pág. 165. </w:t>
      </w:r>
    </w:p>
    <w:p w:rsidR="002355F1" w:rsidRPr="00047B4E" w:rsidRDefault="002355F1" w:rsidP="00D936C4">
      <w:pPr>
        <w:spacing w:line="360" w:lineRule="auto"/>
        <w:jc w:val="both"/>
        <w:rPr>
          <w:color w:val="000000" w:themeColor="text1"/>
        </w:rPr>
      </w:pPr>
    </w:p>
    <w:p w:rsidR="002355F1" w:rsidRPr="00047B4E" w:rsidRDefault="005A478B" w:rsidP="00D936C4">
      <w:pPr>
        <w:spacing w:line="360" w:lineRule="auto"/>
        <w:ind w:left="720" w:hanging="720"/>
        <w:jc w:val="both"/>
        <w:rPr>
          <w:color w:val="000000" w:themeColor="text1"/>
        </w:rPr>
      </w:pPr>
      <w:r w:rsidRPr="00047B4E">
        <w:rPr>
          <w:color w:val="000000" w:themeColor="text1"/>
        </w:rPr>
        <w:t>Tribunal de Justicia de la Unión Europea</w:t>
      </w:r>
    </w:p>
    <w:p w:rsidR="002355F1" w:rsidRPr="00047B4E" w:rsidRDefault="005A478B" w:rsidP="00D936C4">
      <w:pPr>
        <w:spacing w:line="360" w:lineRule="auto"/>
        <w:ind w:left="720" w:hanging="720"/>
        <w:jc w:val="both"/>
        <w:rPr>
          <w:color w:val="000000" w:themeColor="text1"/>
        </w:rPr>
      </w:pPr>
      <w:r w:rsidRPr="00047B4E">
        <w:rPr>
          <w:color w:val="000000" w:themeColor="text1"/>
        </w:rPr>
        <w:t>1987</w:t>
      </w:r>
      <w:r w:rsidRPr="00047B4E">
        <w:rPr>
          <w:color w:val="000000" w:themeColor="text1"/>
        </w:rPr>
        <w:tab/>
        <w:t xml:space="preserve">Caso del 17 de noviembre de 1987, asuntos acumulados 142 y 156/84 - British American Tabacco Company Ltd. </w:t>
      </w:r>
    </w:p>
    <w:p w:rsidR="002355F1" w:rsidRDefault="002355F1" w:rsidP="00D936C4">
      <w:pPr>
        <w:spacing w:line="360" w:lineRule="auto"/>
        <w:jc w:val="both"/>
        <w:rPr>
          <w:color w:val="000000" w:themeColor="text1"/>
        </w:rPr>
      </w:pPr>
    </w:p>
    <w:p w:rsidR="000A7F18" w:rsidRDefault="000A7F18" w:rsidP="00D936C4">
      <w:pPr>
        <w:spacing w:line="360" w:lineRule="auto"/>
        <w:jc w:val="both"/>
      </w:pPr>
      <w:r>
        <w:t xml:space="preserve">Tribunal Europeo de Derechos Humanos </w:t>
      </w:r>
    </w:p>
    <w:p w:rsidR="000A7F18" w:rsidRPr="000A7F18" w:rsidRDefault="000A7F18" w:rsidP="00D936C4">
      <w:pPr>
        <w:spacing w:line="360" w:lineRule="auto"/>
        <w:ind w:left="720" w:hanging="720"/>
        <w:jc w:val="both"/>
        <w:rPr>
          <w:color w:val="000000" w:themeColor="text1"/>
        </w:rPr>
      </w:pPr>
      <w:r>
        <w:t>1982</w:t>
      </w:r>
      <w:r>
        <w:tab/>
      </w:r>
      <w:r w:rsidRPr="000A7F18">
        <w:rPr>
          <w:color w:val="000000" w:themeColor="text1"/>
        </w:rPr>
        <w:t>CASO PIERSACK CONTRA BÉLGICA</w:t>
      </w:r>
      <w:r>
        <w:rPr>
          <w:color w:val="000000" w:themeColor="text1"/>
        </w:rPr>
        <w:t xml:space="preserve">. </w:t>
      </w:r>
      <w:r w:rsidRPr="000A7F18">
        <w:rPr>
          <w:color w:val="000000" w:themeColor="text1"/>
        </w:rPr>
        <w:t>Demanda núm. 8692/1979.</w:t>
      </w:r>
      <w:r>
        <w:rPr>
          <w:color w:val="000000" w:themeColor="text1"/>
        </w:rPr>
        <w:t xml:space="preserve"> </w:t>
      </w:r>
      <w:r w:rsidRPr="000A7F18">
        <w:rPr>
          <w:color w:val="000000" w:themeColor="text1"/>
        </w:rPr>
        <w:t>1</w:t>
      </w:r>
      <w:r>
        <w:rPr>
          <w:color w:val="000000" w:themeColor="text1"/>
        </w:rPr>
        <w:t xml:space="preserve"> de octubre de 1982.</w:t>
      </w:r>
    </w:p>
    <w:p w:rsidR="000A7F18" w:rsidRPr="00047B4E" w:rsidRDefault="000A7F18" w:rsidP="00D936C4">
      <w:pPr>
        <w:spacing w:line="360" w:lineRule="auto"/>
        <w:jc w:val="both"/>
        <w:rPr>
          <w:color w:val="000000" w:themeColor="text1"/>
        </w:rPr>
      </w:pPr>
    </w:p>
    <w:p w:rsidR="002355F1" w:rsidRPr="00047B4E" w:rsidRDefault="005A478B" w:rsidP="00D936C4">
      <w:pPr>
        <w:spacing w:line="360" w:lineRule="auto"/>
        <w:jc w:val="both"/>
        <w:rPr>
          <w:color w:val="000000" w:themeColor="text1"/>
          <w:lang w:val="en-US"/>
        </w:rPr>
      </w:pPr>
      <w:r w:rsidRPr="00047B4E">
        <w:rPr>
          <w:color w:val="000000" w:themeColor="text1"/>
          <w:lang w:val="en-US"/>
        </w:rPr>
        <w:t>ZIGELSKI, Sabine</w:t>
      </w:r>
    </w:p>
    <w:p w:rsidR="002355F1" w:rsidRPr="00047B4E" w:rsidRDefault="005A478B" w:rsidP="00D936C4">
      <w:pPr>
        <w:spacing w:line="360" w:lineRule="auto"/>
        <w:ind w:left="720" w:hanging="720"/>
        <w:jc w:val="both"/>
        <w:rPr>
          <w:color w:val="000000" w:themeColor="text1"/>
        </w:rPr>
      </w:pPr>
      <w:r w:rsidRPr="00047B4E">
        <w:rPr>
          <w:color w:val="000000" w:themeColor="text1"/>
          <w:lang w:val="en-US"/>
        </w:rPr>
        <w:t>2018</w:t>
      </w:r>
      <w:r w:rsidRPr="00047B4E">
        <w:rPr>
          <w:color w:val="000000" w:themeColor="text1"/>
          <w:lang w:val="en-US"/>
        </w:rPr>
        <w:tab/>
        <w:t xml:space="preserve">“Suspensory Effects of Merger Notifications and Gun Jumping”. </w:t>
      </w:r>
      <w:r w:rsidRPr="00047B4E">
        <w:rPr>
          <w:color w:val="000000" w:themeColor="text1"/>
        </w:rPr>
        <w:t xml:space="preserve">27 de noviembre de 2018. Disponible en: </w:t>
      </w:r>
      <w:hyperlink r:id="rId39">
        <w:r w:rsidRPr="00047B4E">
          <w:rPr>
            <w:color w:val="000000" w:themeColor="text1"/>
            <w:u w:val="single"/>
          </w:rPr>
          <w:t>https://www.slideshare.net/OECD-DAF/gun-jumping-oecd-november-2018-oecd-discussion</w:t>
        </w:r>
      </w:hyperlink>
    </w:p>
    <w:p w:rsidR="002355F1" w:rsidRPr="00047B4E" w:rsidRDefault="002355F1" w:rsidP="00D936C4">
      <w:pPr>
        <w:pBdr>
          <w:top w:val="nil"/>
          <w:left w:val="nil"/>
          <w:bottom w:val="nil"/>
          <w:right w:val="nil"/>
          <w:between w:val="nil"/>
        </w:pBdr>
        <w:spacing w:line="360" w:lineRule="auto"/>
        <w:jc w:val="both"/>
        <w:rPr>
          <w:color w:val="000000" w:themeColor="text1"/>
        </w:rPr>
      </w:pPr>
    </w:p>
    <w:p w:rsidR="002355F1" w:rsidRPr="00047B4E" w:rsidRDefault="005A478B" w:rsidP="00D936C4">
      <w:pPr>
        <w:spacing w:line="360" w:lineRule="auto"/>
        <w:rPr>
          <w:color w:val="000000" w:themeColor="text1"/>
        </w:rPr>
      </w:pPr>
      <w:r w:rsidRPr="00047B4E">
        <w:rPr>
          <w:color w:val="000000" w:themeColor="text1"/>
        </w:rPr>
        <w:t>ZUÑIGA FERNÁNDEZ, Tania</w:t>
      </w:r>
    </w:p>
    <w:p w:rsidR="002355F1" w:rsidRPr="00047B4E" w:rsidRDefault="005A478B" w:rsidP="00D936C4">
      <w:pPr>
        <w:spacing w:line="360" w:lineRule="auto"/>
        <w:ind w:left="720" w:hanging="720"/>
        <w:rPr>
          <w:color w:val="000000" w:themeColor="text1"/>
        </w:rPr>
      </w:pPr>
      <w:r w:rsidRPr="00047B4E">
        <w:rPr>
          <w:color w:val="000000" w:themeColor="text1"/>
        </w:rPr>
        <w:t>2018</w:t>
      </w:r>
      <w:r w:rsidRPr="00047B4E">
        <w:rPr>
          <w:color w:val="000000" w:themeColor="text1"/>
        </w:rPr>
        <w:tab/>
        <w:t xml:space="preserve">“El Control de Concentraciones empresariales en el Perú: Fundamentos para su regulación”. En IUS ET VERITAS, número 56. </w:t>
      </w:r>
    </w:p>
    <w:p w:rsidR="002355F1" w:rsidRPr="00047B4E" w:rsidRDefault="002355F1" w:rsidP="00D936C4">
      <w:pPr>
        <w:spacing w:line="360" w:lineRule="auto"/>
        <w:rPr>
          <w:color w:val="000000" w:themeColor="text1"/>
        </w:rPr>
      </w:pPr>
    </w:p>
    <w:p w:rsidR="002355F1" w:rsidRDefault="002355F1" w:rsidP="00D936C4">
      <w:pPr>
        <w:shd w:val="clear" w:color="auto" w:fill="FFFFFF"/>
        <w:spacing w:before="240" w:after="240" w:line="360" w:lineRule="auto"/>
        <w:ind w:left="720" w:hanging="720"/>
        <w:jc w:val="both"/>
        <w:rPr>
          <w:color w:val="000000"/>
        </w:rPr>
      </w:pPr>
    </w:p>
    <w:sectPr w:rsidR="002355F1" w:rsidSect="00BA480B">
      <w:footerReference w:type="even" r:id="rId40"/>
      <w:footerReference w:type="default" r:id="rId41"/>
      <w:pgSz w:w="12240" w:h="15840"/>
      <w:pgMar w:top="1417" w:right="1701" w:bottom="1417" w:left="1701" w:header="709" w:footer="709"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2AB9" w:rsidRDefault="006E2AB9">
      <w:r>
        <w:separator/>
      </w:r>
    </w:p>
  </w:endnote>
  <w:endnote w:type="continuationSeparator" w:id="0">
    <w:p w:rsidR="006E2AB9" w:rsidRDefault="006E2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inherit">
    <w:altName w:val="Cambria"/>
    <w:panose1 w:val="020B06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webkit-standard">
    <w:altName w:val="Cambria"/>
    <w:panose1 w:val="020B0604020202020204"/>
    <w:charset w:val="00"/>
    <w:family w:val="roman"/>
    <w:notTrueType/>
    <w:pitch w:val="default"/>
  </w:font>
  <w:font w:name="Droid Sans">
    <w:altName w:val="Calibri"/>
    <w:panose1 w:val="020B0604020202020204"/>
    <w:charset w:val="00"/>
    <w:family w:val="auto"/>
    <w:pitch w:val="default"/>
  </w:font>
  <w:font w:name="TimesNewRomanPSMT">
    <w:altName w:val="Times New Roman"/>
    <w:panose1 w:val="020B0604020202020204"/>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Times New Roman,Italic">
    <w:altName w:val="Times New Roman"/>
    <w:panose1 w:val="00000500000000090000"/>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375A" w:rsidRDefault="006D375A">
    <w:pPr>
      <w:pBdr>
        <w:top w:val="nil"/>
        <w:left w:val="nil"/>
        <w:bottom w:val="nil"/>
        <w:right w:val="nil"/>
        <w:between w:val="nil"/>
      </w:pBdr>
      <w:tabs>
        <w:tab w:val="center" w:pos="4419"/>
        <w:tab w:val="right" w:pos="8838"/>
      </w:tabs>
      <w:jc w:val="right"/>
      <w:rPr>
        <w:color w:val="000000"/>
      </w:rPr>
    </w:pPr>
  </w:p>
  <w:p w:rsidR="006D375A" w:rsidRDefault="006D375A">
    <w:pPr>
      <w:pBdr>
        <w:top w:val="nil"/>
        <w:left w:val="nil"/>
        <w:bottom w:val="nil"/>
        <w:right w:val="nil"/>
        <w:between w:val="nil"/>
      </w:pBdr>
      <w:tabs>
        <w:tab w:val="center" w:pos="4419"/>
        <w:tab w:val="right" w:pos="8838"/>
      </w:tabs>
      <w:ind w:right="360"/>
      <w:rPr>
        <w:color w:val="000000"/>
      </w:rPr>
    </w:pPr>
    <w:r>
      <w:rPr>
        <w:color w:val="000000"/>
      </w:rPr>
      <w:fldChar w:fldCharType="begin"/>
    </w:r>
    <w:r>
      <w:rPr>
        <w:color w:val="000000"/>
      </w:rPr>
      <w:instrText>PAGE</w:instrTex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375A" w:rsidRDefault="006D375A">
    <w:pPr>
      <w:pBdr>
        <w:top w:val="nil"/>
        <w:left w:val="nil"/>
        <w:bottom w:val="nil"/>
        <w:right w:val="nil"/>
        <w:between w:val="nil"/>
      </w:pBdr>
      <w:tabs>
        <w:tab w:val="center" w:pos="4419"/>
        <w:tab w:val="right" w:pos="8838"/>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rsidR="006D375A" w:rsidRDefault="006D375A">
    <w:pPr>
      <w:pBdr>
        <w:top w:val="nil"/>
        <w:left w:val="nil"/>
        <w:bottom w:val="nil"/>
        <w:right w:val="nil"/>
        <w:between w:val="nil"/>
      </w:pBdr>
      <w:tabs>
        <w:tab w:val="center" w:pos="4419"/>
        <w:tab w:val="right" w:pos="8838"/>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2AB9" w:rsidRDefault="006E2AB9">
      <w:r>
        <w:separator/>
      </w:r>
    </w:p>
  </w:footnote>
  <w:footnote w:type="continuationSeparator" w:id="0">
    <w:p w:rsidR="006E2AB9" w:rsidRDefault="006E2AB9">
      <w:r>
        <w:continuationSeparator/>
      </w:r>
    </w:p>
  </w:footnote>
  <w:footnote w:id="1">
    <w:p w:rsidR="006D375A" w:rsidRPr="001C0537" w:rsidRDefault="006D375A" w:rsidP="001C0537">
      <w:pPr>
        <w:pStyle w:val="NormalWeb"/>
        <w:spacing w:before="0" w:beforeAutospacing="0" w:after="0" w:afterAutospacing="0"/>
        <w:ind w:left="567" w:hanging="567"/>
        <w:jc w:val="both"/>
        <w:rPr>
          <w:rFonts w:ascii="-webkit-standard" w:hAnsi="-webkit-standard"/>
          <w:color w:val="000000"/>
          <w:sz w:val="16"/>
          <w:szCs w:val="16"/>
        </w:rPr>
      </w:pPr>
      <w:r w:rsidRPr="001C0537">
        <w:rPr>
          <w:sz w:val="16"/>
          <w:szCs w:val="16"/>
          <w:vertAlign w:val="superscript"/>
        </w:rPr>
        <w:footnoteRef/>
      </w:r>
      <w:r w:rsidRPr="001C0537">
        <w:rPr>
          <w:sz w:val="16"/>
          <w:szCs w:val="16"/>
        </w:rPr>
        <w:t xml:space="preserve"> </w:t>
      </w:r>
      <w:r>
        <w:rPr>
          <w:sz w:val="20"/>
          <w:szCs w:val="20"/>
        </w:rPr>
        <w:tab/>
      </w:r>
      <w:r w:rsidRPr="001C0537">
        <w:rPr>
          <w:b/>
          <w:bCs/>
          <w:color w:val="000000"/>
          <w:sz w:val="16"/>
          <w:szCs w:val="16"/>
        </w:rPr>
        <w:t>Reglamento de la Ley Antimonopolio y Antioligopolio del Sector Eléctrico, aprobado mediante Decreto Supremo 017-98-ITINCI</w:t>
      </w:r>
    </w:p>
    <w:p w:rsidR="006D375A" w:rsidRPr="001C0537" w:rsidRDefault="006D375A" w:rsidP="001C0537">
      <w:pPr>
        <w:pStyle w:val="NormalWeb"/>
        <w:spacing w:before="0" w:beforeAutospacing="0" w:after="0" w:afterAutospacing="0"/>
        <w:ind w:left="567"/>
        <w:jc w:val="both"/>
        <w:rPr>
          <w:rFonts w:ascii="-webkit-standard" w:hAnsi="-webkit-standard"/>
          <w:color w:val="000000"/>
          <w:sz w:val="16"/>
          <w:szCs w:val="16"/>
        </w:rPr>
      </w:pPr>
      <w:r w:rsidRPr="001C0537">
        <w:rPr>
          <w:color w:val="000000"/>
          <w:sz w:val="16"/>
          <w:szCs w:val="16"/>
        </w:rPr>
        <w:t>Artículo 16.- Verificación de la información presentada. Dentro del plazo de cinco (5) días posteriores a la presentación de la Notificación, la Secretaría definirá si la información que se acompaña a la solicitud se encuentra completa. Cuando constate que no se ha presentado toda la información requerida, notificará a las Personas o empresas que presentaron la solicitud para que en el plazo máximo de cinco (5) días completen la información faltante, bajo cargo de tener por no presentada la solicitud.</w:t>
      </w:r>
      <w:r w:rsidRPr="001C0537">
        <w:rPr>
          <w:sz w:val="16"/>
          <w:szCs w:val="16"/>
        </w:rPr>
        <w:t xml:space="preserve"> </w:t>
      </w:r>
    </w:p>
  </w:footnote>
  <w:footnote w:id="2">
    <w:p w:rsidR="006D375A" w:rsidRPr="001C0537" w:rsidRDefault="006D375A" w:rsidP="001C0537">
      <w:pPr>
        <w:pStyle w:val="NormalWeb"/>
        <w:spacing w:before="0" w:beforeAutospacing="0" w:after="0" w:afterAutospacing="0"/>
        <w:ind w:left="567" w:hanging="567"/>
        <w:jc w:val="both"/>
        <w:rPr>
          <w:rFonts w:ascii="-webkit-standard" w:hAnsi="-webkit-standard"/>
          <w:color w:val="000000"/>
          <w:sz w:val="16"/>
          <w:szCs w:val="16"/>
        </w:rPr>
      </w:pPr>
      <w:r w:rsidRPr="001C0537">
        <w:rPr>
          <w:sz w:val="16"/>
          <w:szCs w:val="16"/>
          <w:vertAlign w:val="superscript"/>
        </w:rPr>
        <w:footnoteRef/>
      </w:r>
      <w:r w:rsidRPr="001C0537">
        <w:rPr>
          <w:sz w:val="16"/>
          <w:szCs w:val="16"/>
        </w:rPr>
        <w:t xml:space="preserve"> </w:t>
      </w:r>
      <w:r w:rsidRPr="001C0537">
        <w:rPr>
          <w:sz w:val="16"/>
          <w:szCs w:val="16"/>
        </w:rPr>
        <w:tab/>
      </w:r>
      <w:r w:rsidRPr="001C0537">
        <w:rPr>
          <w:color w:val="000000"/>
          <w:sz w:val="16"/>
          <w:szCs w:val="16"/>
        </w:rPr>
        <w:t>Artículo 17.- Requerimiento de información adicional. Vencido el plazo a que se refiere el artículo anterior o satisfecha la presentación de la información faltante, la Comisión o la Secretaría Técnica podrá solicitar dentro de los diez (10) días siguientes, datos o documentos adicionales que considere necesarios para la evaluación de la operación notificada, los que deberán ser proporcionados por los interesados dentro de un plazo máximo de diez (10) días.</w:t>
      </w:r>
      <w:r w:rsidRPr="001C0537">
        <w:rPr>
          <w:sz w:val="16"/>
          <w:szCs w:val="16"/>
        </w:rPr>
        <w:t xml:space="preserve"> </w:t>
      </w:r>
    </w:p>
  </w:footnote>
  <w:footnote w:id="3">
    <w:p w:rsidR="006D375A" w:rsidRPr="001C0537" w:rsidRDefault="006D375A" w:rsidP="001C0537">
      <w:pPr>
        <w:ind w:left="567" w:hanging="567"/>
        <w:rPr>
          <w:sz w:val="16"/>
          <w:szCs w:val="16"/>
        </w:rPr>
      </w:pPr>
      <w:r w:rsidRPr="001C0537">
        <w:rPr>
          <w:sz w:val="16"/>
          <w:szCs w:val="16"/>
          <w:vertAlign w:val="superscript"/>
        </w:rPr>
        <w:footnoteRef/>
      </w:r>
      <w:r w:rsidRPr="001C0537">
        <w:rPr>
          <w:sz w:val="16"/>
          <w:szCs w:val="16"/>
        </w:rPr>
        <w:t xml:space="preserve"> </w:t>
      </w:r>
      <w:r w:rsidRPr="001C0537">
        <w:rPr>
          <w:sz w:val="16"/>
          <w:szCs w:val="16"/>
        </w:rPr>
        <w:tab/>
      </w:r>
      <w:r w:rsidRPr="001C0537">
        <w:rPr>
          <w:color w:val="000000"/>
          <w:sz w:val="16"/>
          <w:szCs w:val="16"/>
        </w:rPr>
        <w:t>Artículo 18.- Plazo para la decisión de la Comisión. Para emitir su decisión, la Comisión tendrá un plazo de treinta (30) días contados a partir del vencimiento del plazo previsto en el Artículo 17 del presente Reglamento o, en su caso, de la recepción de la documentación o información adicional requerida.</w:t>
      </w:r>
    </w:p>
    <w:p w:rsidR="006D375A" w:rsidRPr="001C0537" w:rsidRDefault="006D375A" w:rsidP="001C0537">
      <w:pPr>
        <w:ind w:left="566" w:hanging="566"/>
        <w:jc w:val="both"/>
        <w:rPr>
          <w:sz w:val="16"/>
          <w:szCs w:val="16"/>
        </w:rPr>
      </w:pPr>
      <w:r w:rsidRPr="001C0537">
        <w:rPr>
          <w:sz w:val="16"/>
          <w:szCs w:val="16"/>
        </w:rPr>
        <w:t xml:space="preserve"> </w:t>
      </w:r>
    </w:p>
  </w:footnote>
  <w:footnote w:id="4">
    <w:p w:rsidR="006D375A" w:rsidRPr="00832A08" w:rsidRDefault="006D375A" w:rsidP="00C511A8">
      <w:pPr>
        <w:ind w:left="567" w:hanging="567"/>
        <w:jc w:val="both"/>
        <w:rPr>
          <w:color w:val="954F72"/>
          <w:sz w:val="16"/>
          <w:szCs w:val="16"/>
          <w:u w:val="single"/>
        </w:rPr>
      </w:pPr>
      <w:r w:rsidRPr="00832A08">
        <w:rPr>
          <w:sz w:val="16"/>
          <w:szCs w:val="16"/>
          <w:vertAlign w:val="superscript"/>
        </w:rPr>
        <w:footnoteRef/>
      </w:r>
      <w:r w:rsidRPr="00832A08">
        <w:rPr>
          <w:sz w:val="16"/>
          <w:szCs w:val="16"/>
        </w:rPr>
        <w:t xml:space="preserve"> </w:t>
      </w:r>
      <w:r w:rsidRPr="00832A08">
        <w:rPr>
          <w:sz w:val="16"/>
          <w:szCs w:val="16"/>
        </w:rPr>
        <w:tab/>
        <w:t xml:space="preserve">Hecho Relevante de la CNMV con Registro 110170. Disponible en </w:t>
      </w:r>
    </w:p>
    <w:p w:rsidR="006D375A" w:rsidRPr="00832A08" w:rsidRDefault="006D375A" w:rsidP="00C511A8">
      <w:pPr>
        <w:ind w:left="567"/>
        <w:jc w:val="both"/>
        <w:rPr>
          <w:color w:val="0000FF"/>
          <w:sz w:val="16"/>
          <w:szCs w:val="16"/>
          <w:u w:val="single"/>
        </w:rPr>
      </w:pPr>
      <w:r w:rsidRPr="00832A08">
        <w:rPr>
          <w:color w:val="0000FF"/>
          <w:sz w:val="16"/>
          <w:szCs w:val="16"/>
          <w:u w:val="single"/>
        </w:rPr>
        <w:fldChar w:fldCharType="begin"/>
      </w:r>
      <w:r w:rsidRPr="00832A08">
        <w:rPr>
          <w:color w:val="0000FF"/>
          <w:sz w:val="16"/>
          <w:szCs w:val="16"/>
          <w:u w:val="single"/>
        </w:rPr>
        <w:instrText xml:space="preserve"> HYPERLINK "http://www.cnmv.es/Portal/HR/verDoc.axd?t={9a696ed8c6eb-4e7a-8671-6b29b9cd5517}</w:instrText>
      </w:r>
    </w:p>
    <w:p w:rsidR="006D375A" w:rsidRPr="00832A08" w:rsidRDefault="006D375A" w:rsidP="00832A08">
      <w:pPr>
        <w:ind w:left="567"/>
        <w:jc w:val="both"/>
        <w:rPr>
          <w:sz w:val="16"/>
          <w:szCs w:val="16"/>
        </w:rPr>
      </w:pPr>
      <w:r w:rsidRPr="00832A08">
        <w:rPr>
          <w:color w:val="0000FF"/>
          <w:sz w:val="16"/>
          <w:szCs w:val="16"/>
          <w:u w:val="single"/>
        </w:rPr>
        <w:instrText xml:space="preserve">" </w:instrText>
      </w:r>
      <w:r w:rsidRPr="00832A08">
        <w:rPr>
          <w:color w:val="0000FF"/>
          <w:sz w:val="16"/>
          <w:szCs w:val="16"/>
          <w:u w:val="single"/>
        </w:rPr>
        <w:fldChar w:fldCharType="separate"/>
      </w:r>
      <w:r w:rsidRPr="00832A08">
        <w:rPr>
          <w:rStyle w:val="Hipervnculo"/>
          <w:sz w:val="16"/>
          <w:szCs w:val="16"/>
        </w:rPr>
        <w:t>http://www.cnmv.es/Portal/HR/verDoc.axd?t={9a696ed8c6eb-4e7a-8671-6b29b9cd5517}</w:t>
      </w:r>
      <w:r w:rsidRPr="00832A08">
        <w:rPr>
          <w:color w:val="0000FF"/>
          <w:sz w:val="16"/>
          <w:szCs w:val="16"/>
          <w:u w:val="single"/>
        </w:rPr>
        <w:fldChar w:fldCharType="end"/>
      </w:r>
    </w:p>
  </w:footnote>
  <w:footnote w:id="5">
    <w:p w:rsidR="006D375A" w:rsidRPr="00832A08" w:rsidRDefault="006D375A" w:rsidP="00832A08">
      <w:pPr>
        <w:ind w:left="567" w:hanging="567"/>
        <w:jc w:val="both"/>
        <w:rPr>
          <w:sz w:val="16"/>
          <w:szCs w:val="16"/>
        </w:rPr>
      </w:pPr>
      <w:r w:rsidRPr="00832A08">
        <w:rPr>
          <w:sz w:val="16"/>
          <w:szCs w:val="16"/>
          <w:vertAlign w:val="superscript"/>
        </w:rPr>
        <w:footnoteRef/>
      </w:r>
      <w:r w:rsidRPr="00832A08">
        <w:rPr>
          <w:sz w:val="16"/>
          <w:szCs w:val="16"/>
        </w:rPr>
        <w:t xml:space="preserve"> </w:t>
      </w:r>
      <w:r w:rsidRPr="00832A08">
        <w:rPr>
          <w:sz w:val="16"/>
          <w:szCs w:val="16"/>
        </w:rPr>
        <w:tab/>
        <w:t xml:space="preserve">Hecho Relevante de la CNMV con Registro 110487. Disponible en </w:t>
      </w:r>
      <w:hyperlink r:id="rId1">
        <w:r w:rsidRPr="00832A08">
          <w:rPr>
            <w:color w:val="0000FF"/>
            <w:sz w:val="16"/>
            <w:szCs w:val="16"/>
            <w:u w:val="single"/>
          </w:rPr>
          <w:t>http://www.cnmv.es/Portal/hr/verDoc.axd?t={23797e67-68c2-4518-8881-bd08375b47ab}</w:t>
        </w:r>
      </w:hyperlink>
    </w:p>
  </w:footnote>
  <w:footnote w:id="6">
    <w:p w:rsidR="006D375A" w:rsidRDefault="006D375A" w:rsidP="00C511A8">
      <w:pPr>
        <w:ind w:left="567" w:hanging="567"/>
        <w:jc w:val="both"/>
        <w:rPr>
          <w:sz w:val="16"/>
          <w:szCs w:val="16"/>
        </w:rPr>
      </w:pPr>
      <w:r w:rsidRPr="00832A08">
        <w:rPr>
          <w:sz w:val="16"/>
          <w:szCs w:val="16"/>
          <w:vertAlign w:val="superscript"/>
        </w:rPr>
        <w:footnoteRef/>
      </w:r>
      <w:r w:rsidRPr="00832A08">
        <w:rPr>
          <w:sz w:val="16"/>
          <w:szCs w:val="16"/>
        </w:rPr>
        <w:t xml:space="preserve"> </w:t>
      </w:r>
      <w:r w:rsidRPr="00832A08">
        <w:rPr>
          <w:sz w:val="16"/>
          <w:szCs w:val="16"/>
        </w:rPr>
        <w:tab/>
        <w:t xml:space="preserve">Hecho Relevante de la CNMV con Registro 110492. Disponible en  </w:t>
      </w:r>
      <w:hyperlink r:id="rId2">
        <w:r w:rsidRPr="00832A08">
          <w:rPr>
            <w:color w:val="0000FF"/>
            <w:sz w:val="16"/>
            <w:szCs w:val="16"/>
            <w:u w:val="single"/>
          </w:rPr>
          <w:t>http://www.cnmv.es/Portal/hr/verDoc.axd?t={8bd687f34894-4634-abdb-968a5bdfb760}</w:t>
        </w:r>
      </w:hyperlink>
    </w:p>
  </w:footnote>
  <w:footnote w:id="7">
    <w:p w:rsidR="006D375A" w:rsidRPr="00A42DDA" w:rsidRDefault="006D375A" w:rsidP="00A42DDA">
      <w:pPr>
        <w:ind w:left="567" w:hanging="567"/>
        <w:jc w:val="both"/>
        <w:rPr>
          <w:sz w:val="16"/>
          <w:szCs w:val="16"/>
        </w:rPr>
      </w:pPr>
      <w:r w:rsidRPr="00A42DDA">
        <w:rPr>
          <w:sz w:val="16"/>
          <w:szCs w:val="16"/>
          <w:vertAlign w:val="superscript"/>
        </w:rPr>
        <w:footnoteRef/>
      </w:r>
      <w:r w:rsidRPr="00A42DDA">
        <w:rPr>
          <w:sz w:val="16"/>
          <w:szCs w:val="16"/>
        </w:rPr>
        <w:t xml:space="preserve"> </w:t>
      </w:r>
      <w:r w:rsidRPr="00A42DDA">
        <w:rPr>
          <w:sz w:val="16"/>
          <w:szCs w:val="16"/>
        </w:rPr>
        <w:tab/>
        <w:t xml:space="preserve">Fotografía del Acta, incluida en el escrito de descargos de Enel del 5 de agosto de 2009. </w:t>
      </w:r>
    </w:p>
  </w:footnote>
  <w:footnote w:id="8">
    <w:p w:rsidR="006D375A" w:rsidRDefault="006D375A">
      <w:pPr>
        <w:ind w:left="567" w:hanging="567"/>
        <w:jc w:val="both"/>
        <w:rPr>
          <w:rFonts w:ascii="Arial" w:eastAsia="Arial" w:hAnsi="Arial" w:cs="Arial"/>
          <w:color w:val="0F70B7"/>
          <w:sz w:val="16"/>
          <w:szCs w:val="16"/>
          <w:highlight w:val="white"/>
        </w:rPr>
      </w:pPr>
      <w:r w:rsidRPr="00A42DDA">
        <w:rPr>
          <w:sz w:val="16"/>
          <w:szCs w:val="16"/>
          <w:vertAlign w:val="superscript"/>
        </w:rPr>
        <w:footnoteRef/>
      </w:r>
      <w:r w:rsidRPr="00A42DDA">
        <w:rPr>
          <w:sz w:val="16"/>
          <w:szCs w:val="16"/>
        </w:rPr>
        <w:t xml:space="preserve"> </w:t>
      </w:r>
      <w:r w:rsidRPr="00A42DDA">
        <w:rPr>
          <w:sz w:val="16"/>
          <w:szCs w:val="16"/>
        </w:rPr>
        <w:tab/>
        <w:t>Documento</w:t>
      </w:r>
      <w:r>
        <w:rPr>
          <w:sz w:val="16"/>
          <w:szCs w:val="16"/>
        </w:rPr>
        <w:t xml:space="preserve"> “1 - OTRAS CIRCUNSTANCIAS QUE REPERCUTAN EN EL EMISOR O EN LAS EMPRESAS DE SU GRUPO”. EXP. 2009020504 DEL 25/06/2009 17:50. Disponible en Hechos de Importancia de ENEL GENERACION PIURA S.A. (ANTES EMPRESA ELECTRICA DE PIURA S.A.). Disponible en &lt;https://www.smv.gob.pe/Bp_HechosdeImportancia?op=bq10&gt;.</w:t>
      </w:r>
      <w:r>
        <w:fldChar w:fldCharType="begin"/>
      </w:r>
      <w:r>
        <w:instrText xml:space="preserve"> HYPERLINK "http://www.cnmv.es/Portal/HR/verDoc.axd?t=%7B9a696ed8-c6eb-4e7a-8671-6b29b9cd5517%7D" </w:instrText>
      </w:r>
      <w:r>
        <w:fldChar w:fldCharType="separate"/>
      </w:r>
    </w:p>
    <w:p w:rsidR="006D375A" w:rsidRDefault="006D375A">
      <w:pPr>
        <w:jc w:val="both"/>
        <w:rPr>
          <w:sz w:val="16"/>
          <w:szCs w:val="16"/>
        </w:rPr>
      </w:pPr>
      <w:r>
        <w:fldChar w:fldCharType="end"/>
      </w:r>
      <w:r>
        <w:fldChar w:fldCharType="begin"/>
      </w:r>
      <w:r>
        <w:instrText xml:space="preserve"> HYPERLINK "http://www.cnmv.es/Portal/HR/verDoc.axd?t=%7B9a696ed8-c6eb-4e7a-8671-6b29b9cd5517%7D" </w:instrText>
      </w:r>
      <w:r>
        <w:fldChar w:fldCharType="separate"/>
      </w:r>
    </w:p>
    <w:p w:rsidR="006D375A" w:rsidRDefault="006D375A">
      <w:pPr>
        <w:widowControl w:val="0"/>
        <w:pBdr>
          <w:top w:val="nil"/>
          <w:left w:val="nil"/>
          <w:bottom w:val="nil"/>
          <w:right w:val="nil"/>
          <w:between w:val="nil"/>
        </w:pBdr>
        <w:spacing w:line="276" w:lineRule="auto"/>
        <w:rPr>
          <w:sz w:val="16"/>
          <w:szCs w:val="16"/>
        </w:rPr>
      </w:pPr>
      <w:r>
        <w:fldChar w:fldCharType="end"/>
      </w:r>
    </w:p>
  </w:footnote>
  <w:footnote w:id="9">
    <w:p w:rsidR="006D375A" w:rsidRDefault="006D375A" w:rsidP="00324395">
      <w:pPr>
        <w:ind w:left="567" w:hanging="567"/>
        <w:jc w:val="both"/>
        <w:rPr>
          <w:sz w:val="16"/>
          <w:szCs w:val="16"/>
        </w:rPr>
      </w:pPr>
      <w:r w:rsidRPr="00EE68FD">
        <w:rPr>
          <w:sz w:val="16"/>
          <w:szCs w:val="16"/>
          <w:vertAlign w:val="superscript"/>
        </w:rPr>
        <w:footnoteRef/>
      </w:r>
      <w:r w:rsidRPr="00EE68FD">
        <w:rPr>
          <w:sz w:val="16"/>
          <w:szCs w:val="16"/>
        </w:rPr>
        <w:t xml:space="preserve"> </w:t>
      </w:r>
      <w:r w:rsidRPr="00EE68FD">
        <w:rPr>
          <w:sz w:val="16"/>
          <w:szCs w:val="16"/>
        </w:rPr>
        <w:tab/>
        <w:t>Con la meta de promover la competencia en el sector,  la obligación de acceso abierto a las redes de transmisión y distribución fue establecida. Ello para hacer viable que las empresas de generación puedan comercializar energía con clientes libres ubicados físicamente en otra zona del Sistema Interconectado  de transmisión eléctrica (de forma particular, en las áreas de concesión de las empresas</w:t>
      </w:r>
      <w:r w:rsidRPr="00EE68FD">
        <w:rPr>
          <w:sz w:val="10"/>
          <w:szCs w:val="10"/>
        </w:rPr>
        <w:t xml:space="preserve"> </w:t>
      </w:r>
      <w:r>
        <w:rPr>
          <w:sz w:val="16"/>
          <w:szCs w:val="16"/>
        </w:rPr>
        <w:t>de distribución).</w:t>
      </w:r>
    </w:p>
  </w:footnote>
  <w:footnote w:id="10">
    <w:p w:rsidR="006D375A" w:rsidRPr="005D636C" w:rsidRDefault="006D375A" w:rsidP="005D636C">
      <w:pPr>
        <w:ind w:left="567" w:hanging="567"/>
        <w:jc w:val="both"/>
        <w:rPr>
          <w:sz w:val="16"/>
          <w:szCs w:val="16"/>
        </w:rPr>
      </w:pPr>
      <w:r w:rsidRPr="005D636C">
        <w:rPr>
          <w:sz w:val="16"/>
          <w:szCs w:val="16"/>
          <w:vertAlign w:val="superscript"/>
        </w:rPr>
        <w:footnoteRef/>
      </w:r>
      <w:r w:rsidRPr="005D636C">
        <w:rPr>
          <w:sz w:val="16"/>
          <w:szCs w:val="16"/>
        </w:rPr>
        <w:t xml:space="preserve"> </w:t>
      </w:r>
      <w:r w:rsidRPr="005D636C">
        <w:rPr>
          <w:sz w:val="16"/>
          <w:szCs w:val="16"/>
        </w:rPr>
        <w:tab/>
        <w:t>Cabe añadir que los usuarios que consumen entre 200 kW hasta 2500 kW tienen la opción de elegir su condición de usuario libre o regulado. Ver más detalle en el Reglamento de Usuarios Libres de Electricidad, aprobado mediante Decreto Supremo 022-2009-EM.</w:t>
      </w:r>
    </w:p>
  </w:footnote>
  <w:footnote w:id="11">
    <w:p w:rsidR="006D375A" w:rsidRDefault="006D375A" w:rsidP="00DF38FA">
      <w:pPr>
        <w:ind w:left="567" w:hanging="567"/>
        <w:jc w:val="both"/>
        <w:rPr>
          <w:sz w:val="16"/>
          <w:szCs w:val="16"/>
        </w:rPr>
      </w:pPr>
      <w:r w:rsidRPr="005D636C">
        <w:rPr>
          <w:sz w:val="16"/>
          <w:szCs w:val="16"/>
          <w:vertAlign w:val="superscript"/>
        </w:rPr>
        <w:footnoteRef/>
      </w:r>
      <w:r w:rsidRPr="005D636C">
        <w:rPr>
          <w:sz w:val="16"/>
          <w:szCs w:val="16"/>
        </w:rPr>
        <w:t xml:space="preserve"> </w:t>
      </w:r>
      <w:r w:rsidRPr="005D636C">
        <w:rPr>
          <w:sz w:val="16"/>
          <w:szCs w:val="16"/>
        </w:rPr>
        <w:tab/>
      </w:r>
      <w:r w:rsidRPr="00DF38FA">
        <w:rPr>
          <w:b/>
          <w:sz w:val="16"/>
          <w:szCs w:val="16"/>
        </w:rPr>
        <w:t>Ley de Concesiones Eléctricas</w:t>
      </w:r>
      <w:r>
        <w:rPr>
          <w:sz w:val="16"/>
          <w:szCs w:val="16"/>
        </w:rPr>
        <w:t xml:space="preserve"> </w:t>
      </w:r>
    </w:p>
    <w:p w:rsidR="006D375A" w:rsidRDefault="006D375A" w:rsidP="00DF38FA">
      <w:pPr>
        <w:ind w:left="567"/>
        <w:jc w:val="both"/>
        <w:rPr>
          <w:sz w:val="16"/>
          <w:szCs w:val="16"/>
        </w:rPr>
      </w:pPr>
      <w:r w:rsidRPr="00DF38FA">
        <w:rPr>
          <w:sz w:val="16"/>
          <w:szCs w:val="16"/>
        </w:rPr>
        <w:t xml:space="preserve">Artículo 8°.- La Ley establece un régimen de libertad de precios para los suministros que puedan efectuarse en condiciones de competencia y un sistema de precios regulados en aquellos suministros que por su naturaleza lo requieran, reconociendo costos de eficiencia según los criterios contenidos en el Título V de la presente Ley. </w:t>
      </w:r>
    </w:p>
    <w:p w:rsidR="006D375A" w:rsidRPr="00DF38FA" w:rsidRDefault="006D375A" w:rsidP="00DF38FA">
      <w:pPr>
        <w:ind w:left="567"/>
        <w:jc w:val="both"/>
        <w:rPr>
          <w:sz w:val="16"/>
          <w:szCs w:val="16"/>
        </w:rPr>
      </w:pPr>
      <w:r>
        <w:rPr>
          <w:sz w:val="16"/>
          <w:szCs w:val="16"/>
        </w:rPr>
        <w:t>(…)</w:t>
      </w:r>
    </w:p>
    <w:p w:rsidR="006D375A" w:rsidRPr="005D636C" w:rsidRDefault="006D375A" w:rsidP="00DF38FA">
      <w:pPr>
        <w:ind w:left="567" w:hanging="567"/>
        <w:jc w:val="both"/>
        <w:rPr>
          <w:sz w:val="16"/>
          <w:szCs w:val="16"/>
        </w:rPr>
      </w:pPr>
    </w:p>
  </w:footnote>
  <w:footnote w:id="12">
    <w:p w:rsidR="006D375A" w:rsidRDefault="006D375A" w:rsidP="00F13109">
      <w:pPr>
        <w:ind w:left="567" w:hanging="567"/>
        <w:jc w:val="both"/>
        <w:rPr>
          <w:sz w:val="16"/>
          <w:szCs w:val="16"/>
        </w:rPr>
      </w:pPr>
      <w:r w:rsidRPr="005D636C">
        <w:rPr>
          <w:sz w:val="16"/>
          <w:szCs w:val="16"/>
          <w:vertAlign w:val="superscript"/>
        </w:rPr>
        <w:footnoteRef/>
      </w:r>
      <w:r w:rsidRPr="005D636C">
        <w:rPr>
          <w:sz w:val="16"/>
          <w:szCs w:val="16"/>
        </w:rPr>
        <w:t xml:space="preserve"> </w:t>
      </w:r>
      <w:r w:rsidRPr="005D636C">
        <w:rPr>
          <w:sz w:val="16"/>
          <w:szCs w:val="16"/>
        </w:rPr>
        <w:tab/>
      </w:r>
      <w:r w:rsidRPr="00DF38FA">
        <w:rPr>
          <w:b/>
          <w:sz w:val="16"/>
          <w:szCs w:val="16"/>
        </w:rPr>
        <w:t>Constitución Política del Perú</w:t>
      </w:r>
    </w:p>
    <w:p w:rsidR="006D375A" w:rsidRPr="00F13109" w:rsidRDefault="006D375A" w:rsidP="00F13109">
      <w:pPr>
        <w:ind w:left="567" w:hanging="567"/>
        <w:jc w:val="both"/>
        <w:rPr>
          <w:sz w:val="16"/>
          <w:szCs w:val="16"/>
        </w:rPr>
      </w:pPr>
      <w:r>
        <w:rPr>
          <w:sz w:val="16"/>
          <w:szCs w:val="16"/>
        </w:rPr>
        <w:tab/>
      </w:r>
      <w:r w:rsidRPr="00F13109">
        <w:rPr>
          <w:sz w:val="16"/>
          <w:szCs w:val="16"/>
        </w:rPr>
        <w:t xml:space="preserve">Artículo 61°.- El Estado facilita y vigila la libre competencia. Combate toda práctica que la limite y el abuso de posiciones dominantes o monopólicas. Ninguna ley ni concertación puede autorizar ni establecer monopolios. </w:t>
      </w:r>
    </w:p>
    <w:p w:rsidR="006D375A" w:rsidRPr="00F13109" w:rsidRDefault="006D375A" w:rsidP="00F13109">
      <w:pPr>
        <w:ind w:left="567" w:hanging="1"/>
        <w:jc w:val="both"/>
        <w:rPr>
          <w:sz w:val="16"/>
          <w:szCs w:val="16"/>
        </w:rPr>
      </w:pPr>
      <w:r w:rsidRPr="00F13109">
        <w:rPr>
          <w:sz w:val="16"/>
          <w:szCs w:val="16"/>
        </w:rPr>
        <w:t xml:space="preserve">La prensa, la radio, la televisión y los demás medios de expresión y comunicación social; y, en general, las empresas, los bienes y servicios relacionados con la libertad de expresión y de comunicación, no pueden ser objeto de exclusividad, monopolio ni acaparamiento, directa ni indirectamente, por parte del Estado ni de particulares. </w:t>
      </w:r>
    </w:p>
    <w:p w:rsidR="006D375A" w:rsidRPr="005D636C" w:rsidRDefault="006D375A" w:rsidP="00F13109">
      <w:pPr>
        <w:ind w:left="567" w:hanging="567"/>
        <w:jc w:val="both"/>
        <w:rPr>
          <w:sz w:val="16"/>
          <w:szCs w:val="16"/>
        </w:rPr>
      </w:pPr>
    </w:p>
  </w:footnote>
  <w:footnote w:id="13">
    <w:p w:rsidR="006D375A" w:rsidRDefault="006D375A" w:rsidP="00DF38FA">
      <w:pPr>
        <w:ind w:left="567" w:hanging="567"/>
        <w:jc w:val="both"/>
        <w:rPr>
          <w:sz w:val="16"/>
          <w:szCs w:val="16"/>
        </w:rPr>
      </w:pPr>
      <w:r w:rsidRPr="005D636C">
        <w:rPr>
          <w:sz w:val="16"/>
          <w:szCs w:val="16"/>
          <w:vertAlign w:val="superscript"/>
        </w:rPr>
        <w:footnoteRef/>
      </w:r>
      <w:r w:rsidRPr="005D636C">
        <w:rPr>
          <w:sz w:val="16"/>
          <w:szCs w:val="16"/>
        </w:rPr>
        <w:t xml:space="preserve"> </w:t>
      </w:r>
      <w:r w:rsidRPr="005D636C">
        <w:rPr>
          <w:sz w:val="16"/>
          <w:szCs w:val="16"/>
        </w:rPr>
        <w:tab/>
      </w:r>
      <w:r>
        <w:rPr>
          <w:b/>
          <w:sz w:val="16"/>
          <w:szCs w:val="16"/>
        </w:rPr>
        <w:t>Ley de Concesiones Eléctricas (Versión original)</w:t>
      </w:r>
    </w:p>
    <w:p w:rsidR="006D375A" w:rsidRPr="00DF38FA" w:rsidRDefault="006D375A" w:rsidP="00DF38FA">
      <w:pPr>
        <w:ind w:left="567" w:hanging="1"/>
        <w:jc w:val="both"/>
        <w:rPr>
          <w:sz w:val="18"/>
          <w:szCs w:val="16"/>
        </w:rPr>
      </w:pPr>
      <w:r w:rsidRPr="00DF38FA">
        <w:rPr>
          <w:b/>
          <w:bCs/>
          <w:iCs/>
          <w:color w:val="000000"/>
          <w:sz w:val="16"/>
          <w:szCs w:val="15"/>
        </w:rPr>
        <w:t>Artículo 122.-</w:t>
      </w:r>
      <w:r w:rsidRPr="00DF38FA">
        <w:rPr>
          <w:rStyle w:val="apple-converted-space"/>
          <w:iCs/>
          <w:color w:val="000000"/>
          <w:sz w:val="16"/>
          <w:szCs w:val="15"/>
        </w:rPr>
        <w:t> </w:t>
      </w:r>
      <w:r w:rsidRPr="00DF38FA">
        <w:rPr>
          <w:iCs/>
          <w:color w:val="000000"/>
          <w:sz w:val="16"/>
          <w:szCs w:val="15"/>
        </w:rPr>
        <w:t>Las actividades de generación, de transmisión perteneciente al Sistema Principal y de distribución de energía eléctrica no podrán efectuarse simultáneamente por un mismo titular, salvo en los casos previstos en la presente Ley</w:t>
      </w:r>
    </w:p>
    <w:p w:rsidR="006D375A" w:rsidRPr="005D636C" w:rsidRDefault="006D375A" w:rsidP="00DF38FA">
      <w:pPr>
        <w:ind w:left="567" w:hanging="567"/>
        <w:jc w:val="both"/>
        <w:rPr>
          <w:sz w:val="16"/>
          <w:szCs w:val="16"/>
        </w:rPr>
      </w:pPr>
    </w:p>
  </w:footnote>
  <w:footnote w:id="14">
    <w:p w:rsidR="006D375A" w:rsidRDefault="006D375A" w:rsidP="000424F7">
      <w:pPr>
        <w:ind w:left="567" w:hanging="567"/>
        <w:jc w:val="both"/>
        <w:rPr>
          <w:b/>
          <w:sz w:val="16"/>
          <w:szCs w:val="16"/>
        </w:rPr>
      </w:pPr>
      <w:r w:rsidRPr="005D636C">
        <w:rPr>
          <w:sz w:val="16"/>
          <w:szCs w:val="16"/>
          <w:vertAlign w:val="superscript"/>
        </w:rPr>
        <w:footnoteRef/>
      </w:r>
      <w:r w:rsidRPr="005D636C">
        <w:rPr>
          <w:sz w:val="16"/>
          <w:szCs w:val="16"/>
        </w:rPr>
        <w:t xml:space="preserve"> </w:t>
      </w:r>
      <w:r w:rsidRPr="005D636C">
        <w:rPr>
          <w:sz w:val="16"/>
          <w:szCs w:val="16"/>
        </w:rPr>
        <w:tab/>
      </w:r>
      <w:r>
        <w:rPr>
          <w:b/>
          <w:sz w:val="16"/>
          <w:szCs w:val="16"/>
        </w:rPr>
        <w:t>Ley de Concesiones Eléctricas (Modificada)</w:t>
      </w:r>
    </w:p>
    <w:p w:rsidR="006D375A" w:rsidRDefault="006D375A" w:rsidP="000424F7">
      <w:pPr>
        <w:ind w:left="567"/>
        <w:jc w:val="both"/>
        <w:rPr>
          <w:color w:val="000000"/>
          <w:sz w:val="16"/>
          <w:szCs w:val="16"/>
        </w:rPr>
      </w:pPr>
      <w:r w:rsidRPr="000424F7">
        <w:rPr>
          <w:b/>
          <w:bCs/>
          <w:iCs/>
          <w:color w:val="000000"/>
          <w:sz w:val="16"/>
          <w:szCs w:val="16"/>
        </w:rPr>
        <w:t>A</w:t>
      </w:r>
      <w:r w:rsidRPr="000424F7">
        <w:rPr>
          <w:b/>
          <w:bCs/>
          <w:color w:val="000000"/>
          <w:sz w:val="16"/>
          <w:szCs w:val="16"/>
        </w:rPr>
        <w:t>rtículo 122.-</w:t>
      </w:r>
      <w:r w:rsidRPr="000424F7">
        <w:rPr>
          <w:rStyle w:val="apple-converted-space"/>
          <w:b/>
          <w:bCs/>
          <w:color w:val="000000"/>
          <w:sz w:val="16"/>
          <w:szCs w:val="16"/>
        </w:rPr>
        <w:t> </w:t>
      </w:r>
      <w:r w:rsidRPr="000424F7">
        <w:rPr>
          <w:color w:val="000000"/>
          <w:sz w:val="16"/>
          <w:szCs w:val="16"/>
        </w:rPr>
        <w:t>Las actividades de generación y/o de transmisión pertenecientes al Sistema principal y/o de distribución de energía eléctrica, no podrán efectuarse por un mismo titular o por quien ejerza directa o indirectamente el control de éste, salvo lo dispuesto en la presente Ley.</w:t>
      </w:r>
    </w:p>
    <w:p w:rsidR="006D375A" w:rsidRPr="00B84853" w:rsidRDefault="006D375A" w:rsidP="00B84853">
      <w:pPr>
        <w:ind w:left="567"/>
        <w:jc w:val="both"/>
        <w:rPr>
          <w:color w:val="000000"/>
          <w:sz w:val="16"/>
          <w:szCs w:val="16"/>
        </w:rPr>
      </w:pPr>
      <w:r w:rsidRPr="000424F7">
        <w:rPr>
          <w:color w:val="000000"/>
          <w:sz w:val="16"/>
          <w:szCs w:val="16"/>
        </w:rPr>
        <w:t>Quedan excluidos de dicha prohibición, los actos de concentración de tipo vertical u horizontal que se produzcan en las actividades de generación y/o de transmisión y/o de distribución, que no impliquen una disminución daño o restricción a la competencia y la libre concurrencia en los mercados de las actividades mencionadas o en los mercados relacionados.</w:t>
      </w:r>
    </w:p>
    <w:p w:rsidR="006D375A" w:rsidRPr="005D636C" w:rsidRDefault="006D375A" w:rsidP="00DF38FA">
      <w:pPr>
        <w:ind w:left="567" w:hanging="567"/>
        <w:jc w:val="both"/>
        <w:rPr>
          <w:sz w:val="16"/>
          <w:szCs w:val="16"/>
        </w:rPr>
      </w:pPr>
    </w:p>
  </w:footnote>
  <w:footnote w:id="15">
    <w:p w:rsidR="006D375A" w:rsidRDefault="006D375A" w:rsidP="00E816EC">
      <w:pPr>
        <w:ind w:left="567" w:hanging="567"/>
        <w:jc w:val="both"/>
        <w:rPr>
          <w:b/>
          <w:sz w:val="16"/>
          <w:szCs w:val="16"/>
        </w:rPr>
      </w:pPr>
      <w:r w:rsidRPr="005D636C">
        <w:rPr>
          <w:sz w:val="16"/>
          <w:szCs w:val="16"/>
          <w:vertAlign w:val="superscript"/>
        </w:rPr>
        <w:footnoteRef/>
      </w:r>
      <w:r w:rsidRPr="005D636C">
        <w:rPr>
          <w:sz w:val="16"/>
          <w:szCs w:val="16"/>
        </w:rPr>
        <w:t xml:space="preserve"> </w:t>
      </w:r>
      <w:r w:rsidRPr="005D636C">
        <w:rPr>
          <w:sz w:val="16"/>
          <w:szCs w:val="16"/>
        </w:rPr>
        <w:tab/>
      </w:r>
      <w:r>
        <w:rPr>
          <w:b/>
          <w:sz w:val="16"/>
          <w:szCs w:val="16"/>
        </w:rPr>
        <w:t>Reglamento 139/2004</w:t>
      </w:r>
    </w:p>
    <w:p w:rsidR="006D375A" w:rsidRDefault="006D375A" w:rsidP="00E816EC">
      <w:pPr>
        <w:ind w:left="567"/>
        <w:jc w:val="both"/>
        <w:rPr>
          <w:rStyle w:val="apple-converted-space"/>
          <w:b/>
          <w:bCs/>
          <w:color w:val="000000"/>
          <w:sz w:val="16"/>
          <w:szCs w:val="16"/>
        </w:rPr>
      </w:pPr>
      <w:r w:rsidRPr="000424F7">
        <w:rPr>
          <w:b/>
          <w:bCs/>
          <w:iCs/>
          <w:color w:val="000000"/>
          <w:sz w:val="16"/>
          <w:szCs w:val="16"/>
        </w:rPr>
        <w:t>A</w:t>
      </w:r>
      <w:r w:rsidRPr="000424F7">
        <w:rPr>
          <w:b/>
          <w:bCs/>
          <w:color w:val="000000"/>
          <w:sz w:val="16"/>
          <w:szCs w:val="16"/>
        </w:rPr>
        <w:t xml:space="preserve">rtículo </w:t>
      </w:r>
      <w:r>
        <w:rPr>
          <w:b/>
          <w:bCs/>
          <w:color w:val="000000"/>
          <w:sz w:val="16"/>
          <w:szCs w:val="16"/>
        </w:rPr>
        <w:t>2</w:t>
      </w:r>
      <w:r w:rsidRPr="000424F7">
        <w:rPr>
          <w:b/>
          <w:bCs/>
          <w:color w:val="000000"/>
          <w:sz w:val="16"/>
          <w:szCs w:val="16"/>
        </w:rPr>
        <w:t>.-</w:t>
      </w:r>
      <w:r w:rsidRPr="000424F7">
        <w:rPr>
          <w:rStyle w:val="apple-converted-space"/>
          <w:b/>
          <w:bCs/>
          <w:color w:val="000000"/>
          <w:sz w:val="16"/>
          <w:szCs w:val="16"/>
        </w:rPr>
        <w:t> </w:t>
      </w:r>
    </w:p>
    <w:p w:rsidR="006D375A" w:rsidRDefault="006D375A" w:rsidP="00E816EC">
      <w:pPr>
        <w:ind w:left="567"/>
        <w:jc w:val="both"/>
        <w:rPr>
          <w:color w:val="000000"/>
          <w:sz w:val="16"/>
          <w:szCs w:val="16"/>
        </w:rPr>
      </w:pPr>
      <w:r>
        <w:rPr>
          <w:color w:val="000000"/>
          <w:sz w:val="16"/>
          <w:szCs w:val="16"/>
        </w:rPr>
        <w:t>(…)</w:t>
      </w:r>
    </w:p>
    <w:p w:rsidR="006D375A" w:rsidRPr="00E816EC" w:rsidRDefault="006D375A" w:rsidP="00E816EC">
      <w:pPr>
        <w:ind w:left="567"/>
        <w:jc w:val="both"/>
        <w:rPr>
          <w:color w:val="000000"/>
          <w:sz w:val="13"/>
          <w:szCs w:val="16"/>
        </w:rPr>
      </w:pPr>
      <w:r w:rsidRPr="00E816EC">
        <w:rPr>
          <w:color w:val="444444"/>
          <w:sz w:val="16"/>
          <w:szCs w:val="19"/>
          <w:shd w:val="clear" w:color="auto" w:fill="FFFFFF"/>
        </w:rPr>
        <w:t>3. Las concentraciones que sean susceptibles de obstaculizar de forma significativa la competencia efectiva en el mercado común o en una parte sustancial del mismo, en particular como consecuencia de la creación o refuerzo de una posición dominante, se declararán incompatibles con el mercado común</w:t>
      </w:r>
      <w:r>
        <w:rPr>
          <w:color w:val="444444"/>
          <w:sz w:val="16"/>
          <w:szCs w:val="19"/>
          <w:shd w:val="clear" w:color="auto" w:fill="FFFFFF"/>
        </w:rPr>
        <w:t>.</w:t>
      </w:r>
    </w:p>
    <w:p w:rsidR="006D375A" w:rsidRPr="00E816EC" w:rsidRDefault="006D375A" w:rsidP="00E816EC">
      <w:pPr>
        <w:ind w:left="567" w:hanging="567"/>
        <w:jc w:val="both"/>
        <w:rPr>
          <w:sz w:val="13"/>
          <w:szCs w:val="16"/>
        </w:rPr>
      </w:pPr>
    </w:p>
  </w:footnote>
  <w:footnote w:id="16">
    <w:p w:rsidR="006D375A" w:rsidRDefault="006D375A" w:rsidP="00B84853">
      <w:pPr>
        <w:ind w:left="567" w:hanging="567"/>
        <w:jc w:val="both"/>
        <w:rPr>
          <w:b/>
          <w:sz w:val="16"/>
          <w:szCs w:val="16"/>
        </w:rPr>
      </w:pPr>
      <w:r w:rsidRPr="005D636C">
        <w:rPr>
          <w:sz w:val="16"/>
          <w:szCs w:val="16"/>
          <w:vertAlign w:val="superscript"/>
        </w:rPr>
        <w:footnoteRef/>
      </w:r>
      <w:r w:rsidRPr="005D636C">
        <w:rPr>
          <w:sz w:val="16"/>
          <w:szCs w:val="16"/>
        </w:rPr>
        <w:t xml:space="preserve"> </w:t>
      </w:r>
      <w:r w:rsidRPr="005D636C">
        <w:rPr>
          <w:sz w:val="16"/>
          <w:szCs w:val="16"/>
        </w:rPr>
        <w:tab/>
      </w:r>
      <w:r>
        <w:rPr>
          <w:b/>
          <w:sz w:val="16"/>
          <w:szCs w:val="16"/>
        </w:rPr>
        <w:t>Ley 27444</w:t>
      </w:r>
    </w:p>
    <w:p w:rsidR="006D375A" w:rsidRDefault="006D375A" w:rsidP="00B84853">
      <w:pPr>
        <w:ind w:left="567" w:hanging="567"/>
        <w:jc w:val="both"/>
        <w:rPr>
          <w:b/>
          <w:sz w:val="16"/>
          <w:szCs w:val="16"/>
        </w:rPr>
      </w:pPr>
      <w:r>
        <w:rPr>
          <w:b/>
          <w:sz w:val="16"/>
          <w:szCs w:val="16"/>
        </w:rPr>
        <w:tab/>
        <w:t>De la Potestad Sancionadora</w:t>
      </w:r>
    </w:p>
    <w:p w:rsidR="006D375A" w:rsidRPr="00B84853" w:rsidRDefault="006D375A" w:rsidP="00B84853">
      <w:pPr>
        <w:ind w:left="567"/>
        <w:jc w:val="both"/>
        <w:rPr>
          <w:b/>
          <w:sz w:val="16"/>
          <w:szCs w:val="16"/>
        </w:rPr>
      </w:pPr>
      <w:r w:rsidRPr="00B84853">
        <w:rPr>
          <w:b/>
          <w:bCs/>
          <w:iCs/>
          <w:color w:val="000000"/>
          <w:sz w:val="16"/>
          <w:szCs w:val="16"/>
        </w:rPr>
        <w:t>Artículo 230.- Principios de la potestad sancionadora administrativa</w:t>
      </w:r>
    </w:p>
    <w:p w:rsidR="006D375A" w:rsidRPr="00B84853" w:rsidRDefault="006D375A" w:rsidP="00B84853">
      <w:pPr>
        <w:ind w:left="567"/>
        <w:jc w:val="both"/>
        <w:rPr>
          <w:iCs/>
          <w:color w:val="000000"/>
          <w:sz w:val="16"/>
          <w:szCs w:val="16"/>
        </w:rPr>
      </w:pPr>
      <w:r w:rsidRPr="00B84853">
        <w:rPr>
          <w:iCs/>
          <w:color w:val="000000"/>
          <w:sz w:val="16"/>
          <w:szCs w:val="16"/>
        </w:rPr>
        <w:t>La potestad sancionadora de todas las entidades está regida adicionalmente por los siguientes principios especiales:</w:t>
      </w:r>
    </w:p>
    <w:p w:rsidR="006D375A" w:rsidRDefault="006D375A" w:rsidP="00B84853">
      <w:pPr>
        <w:ind w:left="567"/>
        <w:jc w:val="both"/>
        <w:rPr>
          <w:b/>
          <w:sz w:val="16"/>
          <w:szCs w:val="16"/>
        </w:rPr>
      </w:pPr>
      <w:r w:rsidRPr="00B84853">
        <w:rPr>
          <w:b/>
          <w:sz w:val="16"/>
          <w:szCs w:val="16"/>
        </w:rPr>
        <w:t>(…)</w:t>
      </w:r>
    </w:p>
    <w:p w:rsidR="006D375A" w:rsidRDefault="006D375A" w:rsidP="00B84853">
      <w:pPr>
        <w:ind w:left="567"/>
        <w:jc w:val="both"/>
        <w:rPr>
          <w:b/>
          <w:sz w:val="16"/>
          <w:szCs w:val="16"/>
        </w:rPr>
      </w:pPr>
    </w:p>
    <w:p w:rsidR="006D375A" w:rsidRPr="00B84853" w:rsidRDefault="006D375A" w:rsidP="00B84853">
      <w:pPr>
        <w:ind w:left="567"/>
        <w:jc w:val="both"/>
        <w:rPr>
          <w:b/>
          <w:sz w:val="16"/>
          <w:szCs w:val="16"/>
        </w:rPr>
      </w:pPr>
    </w:p>
  </w:footnote>
  <w:footnote w:id="17">
    <w:p w:rsidR="006D375A" w:rsidRDefault="006D375A" w:rsidP="00B84853">
      <w:pPr>
        <w:ind w:left="567" w:hanging="567"/>
        <w:jc w:val="both"/>
        <w:rPr>
          <w:b/>
          <w:sz w:val="16"/>
          <w:szCs w:val="16"/>
        </w:rPr>
      </w:pPr>
      <w:r w:rsidRPr="005D636C">
        <w:rPr>
          <w:sz w:val="16"/>
          <w:szCs w:val="16"/>
          <w:vertAlign w:val="superscript"/>
        </w:rPr>
        <w:footnoteRef/>
      </w:r>
      <w:r w:rsidRPr="005D636C">
        <w:rPr>
          <w:sz w:val="16"/>
          <w:szCs w:val="16"/>
        </w:rPr>
        <w:t xml:space="preserve"> </w:t>
      </w:r>
      <w:r w:rsidRPr="005D636C">
        <w:rPr>
          <w:sz w:val="16"/>
          <w:szCs w:val="16"/>
        </w:rPr>
        <w:tab/>
      </w:r>
      <w:r>
        <w:rPr>
          <w:b/>
          <w:sz w:val="16"/>
          <w:szCs w:val="16"/>
        </w:rPr>
        <w:t>Ley 27444</w:t>
      </w:r>
    </w:p>
    <w:p w:rsidR="006D375A" w:rsidRDefault="006D375A" w:rsidP="00B84853">
      <w:pPr>
        <w:ind w:left="567" w:hanging="567"/>
        <w:jc w:val="both"/>
        <w:rPr>
          <w:b/>
          <w:sz w:val="16"/>
          <w:szCs w:val="16"/>
        </w:rPr>
      </w:pPr>
      <w:r>
        <w:rPr>
          <w:b/>
          <w:sz w:val="16"/>
          <w:szCs w:val="16"/>
        </w:rPr>
        <w:tab/>
        <w:t>Procedimiento Sancionador</w:t>
      </w:r>
    </w:p>
    <w:p w:rsidR="006D375A" w:rsidRPr="00B84853" w:rsidRDefault="006D375A" w:rsidP="00B84853">
      <w:pPr>
        <w:ind w:firstLine="567"/>
        <w:rPr>
          <w:sz w:val="16"/>
          <w:szCs w:val="16"/>
        </w:rPr>
      </w:pPr>
      <w:r w:rsidRPr="00B84853">
        <w:rPr>
          <w:b/>
          <w:bCs/>
          <w:iCs/>
          <w:color w:val="000000"/>
          <w:sz w:val="16"/>
          <w:szCs w:val="16"/>
        </w:rPr>
        <w:t>Artículo 229.- Ámbito de aplicación de este Capítulo</w:t>
      </w:r>
    </w:p>
    <w:p w:rsidR="006D375A" w:rsidRPr="00B84853" w:rsidRDefault="006D375A" w:rsidP="00B84853">
      <w:pPr>
        <w:ind w:left="567"/>
        <w:jc w:val="both"/>
        <w:rPr>
          <w:color w:val="000000"/>
          <w:sz w:val="16"/>
          <w:szCs w:val="16"/>
        </w:rPr>
      </w:pPr>
      <w:r w:rsidRPr="00B84853">
        <w:rPr>
          <w:color w:val="000000"/>
          <w:sz w:val="16"/>
          <w:szCs w:val="16"/>
        </w:rPr>
        <w:t xml:space="preserve"> (…)</w:t>
      </w:r>
    </w:p>
    <w:p w:rsidR="006D375A" w:rsidRDefault="006D375A" w:rsidP="00B84853">
      <w:pPr>
        <w:ind w:left="567"/>
        <w:jc w:val="both"/>
        <w:rPr>
          <w:iCs/>
          <w:color w:val="000000"/>
          <w:sz w:val="16"/>
          <w:szCs w:val="16"/>
        </w:rPr>
      </w:pPr>
      <w:r w:rsidRPr="00B84853">
        <w:rPr>
          <w:iCs/>
          <w:color w:val="000000"/>
          <w:sz w:val="16"/>
          <w:szCs w:val="16"/>
        </w:rPr>
        <w:t>229.2 Las disposiciones contenidas en el presente Capítulo se aplican con carácter supletorio a los procedimientos establecidos en leyes especiales, las que deberán observar necesariamente los principios de la potestad sancionadora administrativa a que se refiere el articulo 230, así como la estructura y garantías previstas para el procedimiento administrativo sancionador.</w:t>
      </w:r>
      <w:r>
        <w:rPr>
          <w:iCs/>
          <w:color w:val="000000"/>
          <w:sz w:val="16"/>
          <w:szCs w:val="16"/>
        </w:rPr>
        <w:t xml:space="preserve"> </w:t>
      </w:r>
    </w:p>
    <w:p w:rsidR="006D375A" w:rsidRPr="00B84853" w:rsidRDefault="006D375A" w:rsidP="00B84853">
      <w:pPr>
        <w:ind w:left="567"/>
        <w:jc w:val="both"/>
        <w:rPr>
          <w:iCs/>
          <w:color w:val="000000"/>
          <w:sz w:val="16"/>
          <w:szCs w:val="16"/>
        </w:rPr>
      </w:pPr>
      <w:r w:rsidRPr="00B84853">
        <w:rPr>
          <w:iCs/>
          <w:color w:val="000000"/>
          <w:sz w:val="16"/>
          <w:szCs w:val="16"/>
        </w:rPr>
        <w:t>Los procedimientos especiales no podrán imponer condiciones menos favorables a los administrados, que las previstas en este Capítulo.</w:t>
      </w:r>
    </w:p>
    <w:p w:rsidR="006D375A" w:rsidRPr="00B84853" w:rsidRDefault="006D375A" w:rsidP="00B84853">
      <w:pPr>
        <w:ind w:left="567" w:hanging="567"/>
        <w:jc w:val="both"/>
        <w:rPr>
          <w:sz w:val="16"/>
          <w:szCs w:val="16"/>
        </w:rPr>
      </w:pPr>
    </w:p>
  </w:footnote>
  <w:footnote w:id="18">
    <w:p w:rsidR="006D375A" w:rsidRPr="006F768E" w:rsidRDefault="006D375A" w:rsidP="006F768E">
      <w:pPr>
        <w:ind w:left="566" w:hanging="566"/>
        <w:rPr>
          <w:sz w:val="16"/>
          <w:szCs w:val="16"/>
        </w:rPr>
      </w:pPr>
      <w:r w:rsidRPr="009E79F9">
        <w:rPr>
          <w:sz w:val="16"/>
          <w:szCs w:val="16"/>
          <w:vertAlign w:val="superscript"/>
        </w:rPr>
        <w:footnoteRef/>
      </w:r>
      <w:r w:rsidRPr="009E79F9">
        <w:rPr>
          <w:sz w:val="16"/>
          <w:szCs w:val="16"/>
        </w:rPr>
        <w:t xml:space="preserve"> </w:t>
      </w:r>
      <w:r w:rsidRPr="009E79F9">
        <w:rPr>
          <w:sz w:val="16"/>
          <w:szCs w:val="16"/>
        </w:rPr>
        <w:tab/>
        <w:t>Cabe precisar que,es el Decreto Legislativo 1034, la norma que debe acompañar en caso de lagunas y dudas al ser la norma vigente en el tiempo de la infracción del caso, considerando que dicho decreto es parte del ordenamiento jurídico desde el 2008 y el caso</w:t>
      </w:r>
      <w:r w:rsidRPr="009E79F9">
        <w:rPr>
          <w:sz w:val="15"/>
          <w:szCs w:val="15"/>
        </w:rPr>
        <w:t xml:space="preserve"> </w:t>
      </w:r>
      <w:r>
        <w:rPr>
          <w:sz w:val="16"/>
          <w:szCs w:val="16"/>
        </w:rPr>
        <w:t xml:space="preserve">Enel materia de informe inicia el año 2009. </w:t>
      </w:r>
    </w:p>
  </w:footnote>
  <w:footnote w:id="19">
    <w:p w:rsidR="006D375A" w:rsidRDefault="006D375A" w:rsidP="007B507D">
      <w:pPr>
        <w:ind w:left="567" w:hanging="567"/>
        <w:jc w:val="both"/>
        <w:rPr>
          <w:b/>
          <w:sz w:val="16"/>
          <w:szCs w:val="16"/>
        </w:rPr>
      </w:pPr>
      <w:r w:rsidRPr="005D636C">
        <w:rPr>
          <w:sz w:val="16"/>
          <w:szCs w:val="16"/>
          <w:vertAlign w:val="superscript"/>
        </w:rPr>
        <w:footnoteRef/>
      </w:r>
      <w:r w:rsidRPr="005D636C">
        <w:rPr>
          <w:sz w:val="16"/>
          <w:szCs w:val="16"/>
        </w:rPr>
        <w:t xml:space="preserve"> </w:t>
      </w:r>
      <w:r w:rsidRPr="005D636C">
        <w:rPr>
          <w:sz w:val="16"/>
          <w:szCs w:val="16"/>
        </w:rPr>
        <w:tab/>
      </w:r>
      <w:r>
        <w:rPr>
          <w:b/>
          <w:sz w:val="16"/>
          <w:szCs w:val="16"/>
        </w:rPr>
        <w:t>Ley 27444</w:t>
      </w:r>
    </w:p>
    <w:p w:rsidR="006D375A" w:rsidRDefault="006D375A" w:rsidP="007B507D">
      <w:pPr>
        <w:ind w:left="567" w:hanging="567"/>
        <w:jc w:val="both"/>
        <w:rPr>
          <w:b/>
          <w:sz w:val="16"/>
          <w:szCs w:val="16"/>
        </w:rPr>
      </w:pPr>
      <w:r>
        <w:rPr>
          <w:b/>
          <w:sz w:val="16"/>
          <w:szCs w:val="16"/>
        </w:rPr>
        <w:tab/>
        <w:t>De la Potestad Sancionadora</w:t>
      </w:r>
    </w:p>
    <w:p w:rsidR="006D375A" w:rsidRPr="00B84853" w:rsidRDefault="006D375A" w:rsidP="007B507D">
      <w:pPr>
        <w:ind w:left="567"/>
        <w:jc w:val="both"/>
        <w:rPr>
          <w:b/>
          <w:sz w:val="16"/>
          <w:szCs w:val="16"/>
        </w:rPr>
      </w:pPr>
      <w:r w:rsidRPr="00B84853">
        <w:rPr>
          <w:b/>
          <w:bCs/>
          <w:iCs/>
          <w:color w:val="000000"/>
          <w:sz w:val="16"/>
          <w:szCs w:val="16"/>
        </w:rPr>
        <w:t>Artículo 230.- Principios de la potestad sancionadora administrativa</w:t>
      </w:r>
    </w:p>
    <w:p w:rsidR="006D375A" w:rsidRPr="00B84853" w:rsidRDefault="006D375A" w:rsidP="007B507D">
      <w:pPr>
        <w:ind w:left="567"/>
        <w:jc w:val="both"/>
        <w:rPr>
          <w:iCs/>
          <w:color w:val="000000"/>
          <w:sz w:val="16"/>
          <w:szCs w:val="16"/>
        </w:rPr>
      </w:pPr>
      <w:r w:rsidRPr="00B84853">
        <w:rPr>
          <w:iCs/>
          <w:color w:val="000000"/>
          <w:sz w:val="16"/>
          <w:szCs w:val="16"/>
        </w:rPr>
        <w:t>La potestad sancionadora de todas las entidades está regida adicionalmente por los siguientes principios especiales:</w:t>
      </w:r>
    </w:p>
    <w:p w:rsidR="006D375A" w:rsidRPr="007B507D" w:rsidRDefault="006D375A" w:rsidP="007B507D">
      <w:pPr>
        <w:ind w:left="567"/>
        <w:jc w:val="both"/>
        <w:rPr>
          <w:b/>
          <w:sz w:val="16"/>
          <w:szCs w:val="16"/>
        </w:rPr>
      </w:pPr>
      <w:r w:rsidRPr="007B507D">
        <w:rPr>
          <w:b/>
          <w:sz w:val="16"/>
          <w:szCs w:val="16"/>
        </w:rPr>
        <w:t>(…)</w:t>
      </w:r>
    </w:p>
    <w:p w:rsidR="006D375A" w:rsidRPr="007B507D" w:rsidRDefault="006D375A" w:rsidP="007B507D">
      <w:pPr>
        <w:ind w:left="567"/>
        <w:jc w:val="both"/>
        <w:rPr>
          <w:sz w:val="16"/>
          <w:szCs w:val="16"/>
        </w:rPr>
      </w:pPr>
      <w:r w:rsidRPr="007B507D">
        <w:rPr>
          <w:b/>
          <w:bCs/>
          <w:iCs/>
          <w:color w:val="000000"/>
          <w:sz w:val="16"/>
          <w:szCs w:val="16"/>
        </w:rPr>
        <w:t>4. Tipicidad.-</w:t>
      </w:r>
      <w:r w:rsidRPr="007B507D">
        <w:rPr>
          <w:rStyle w:val="apple-converted-space"/>
          <w:b/>
          <w:bCs/>
          <w:iCs/>
          <w:color w:val="000000"/>
          <w:sz w:val="16"/>
          <w:szCs w:val="16"/>
        </w:rPr>
        <w:t> </w:t>
      </w:r>
      <w:r w:rsidRPr="007B507D">
        <w:rPr>
          <w:iCs/>
          <w:color w:val="000000"/>
          <w:sz w:val="16"/>
          <w:szCs w:val="16"/>
        </w:rPr>
        <w:t>Sólo constituyen conductas sancionables administrativamente las infracciones previstas expresamente en normas con rango de ley mediante su tipificación como tales, sin admitir interpretación extensiva o analogía. Las disposiciones reglamentarias de desarrollo pueden especificar o graduar aquellas dirigidas a identificar las conductas o determinar sanciones, sin constituir nuevas conductas sancionables a las previstas legalmente, salvo los casos en que la ley permita tipificar por vía reglamentaria.</w:t>
      </w:r>
    </w:p>
    <w:p w:rsidR="006D375A" w:rsidRDefault="006D375A" w:rsidP="007B507D">
      <w:pPr>
        <w:ind w:left="567"/>
        <w:jc w:val="both"/>
        <w:rPr>
          <w:b/>
          <w:sz w:val="16"/>
          <w:szCs w:val="16"/>
        </w:rPr>
      </w:pPr>
    </w:p>
    <w:p w:rsidR="006D375A" w:rsidRDefault="006D375A" w:rsidP="007B507D">
      <w:pPr>
        <w:ind w:left="567"/>
        <w:jc w:val="both"/>
        <w:rPr>
          <w:b/>
          <w:sz w:val="16"/>
          <w:szCs w:val="16"/>
        </w:rPr>
      </w:pPr>
    </w:p>
    <w:p w:rsidR="006D375A" w:rsidRPr="00B84853" w:rsidRDefault="006D375A" w:rsidP="007B507D">
      <w:pPr>
        <w:ind w:left="567"/>
        <w:jc w:val="both"/>
        <w:rPr>
          <w:b/>
          <w:sz w:val="16"/>
          <w:szCs w:val="16"/>
        </w:rPr>
      </w:pPr>
    </w:p>
  </w:footnote>
  <w:footnote w:id="20">
    <w:p w:rsidR="006D375A" w:rsidRDefault="006D375A" w:rsidP="00D13320">
      <w:pPr>
        <w:ind w:left="567" w:hanging="567"/>
        <w:jc w:val="both"/>
        <w:rPr>
          <w:b/>
          <w:sz w:val="16"/>
          <w:szCs w:val="16"/>
        </w:rPr>
      </w:pPr>
      <w:r w:rsidRPr="005D636C">
        <w:rPr>
          <w:sz w:val="16"/>
          <w:szCs w:val="16"/>
          <w:vertAlign w:val="superscript"/>
        </w:rPr>
        <w:footnoteRef/>
      </w:r>
      <w:r w:rsidRPr="005D636C">
        <w:rPr>
          <w:sz w:val="16"/>
          <w:szCs w:val="16"/>
        </w:rPr>
        <w:t xml:space="preserve"> </w:t>
      </w:r>
      <w:r w:rsidRPr="005D636C">
        <w:rPr>
          <w:sz w:val="16"/>
          <w:szCs w:val="16"/>
        </w:rPr>
        <w:tab/>
      </w:r>
      <w:r>
        <w:rPr>
          <w:b/>
          <w:sz w:val="16"/>
          <w:szCs w:val="16"/>
        </w:rPr>
        <w:t>Ley 26876</w:t>
      </w:r>
    </w:p>
    <w:p w:rsidR="006D375A" w:rsidRDefault="006D375A" w:rsidP="00D13320">
      <w:pPr>
        <w:ind w:left="567"/>
        <w:jc w:val="both"/>
        <w:rPr>
          <w:sz w:val="16"/>
          <w:szCs w:val="16"/>
        </w:rPr>
      </w:pPr>
      <w:r w:rsidRPr="00D13320">
        <w:rPr>
          <w:sz w:val="16"/>
          <w:szCs w:val="16"/>
        </w:rPr>
        <w:t xml:space="preserve">Artículo 1.- Las concentraciones de tipo vertical u horizontal que se produzcan en las actividades de generación y/o de transmisión y/o de distribución de energía eléctrica se sujetarán a un procedimiento de autorización previa de acuerdo a los términos establecidos en la presente Ley, con el objeto de evitar los actos de concentración que tengan por efecto disminuir, dañar o impedir la competencia y la libre concurrencia en los mercados de las actividades mencionadas o en los mercados relacionados. </w:t>
      </w:r>
    </w:p>
    <w:p w:rsidR="006D375A" w:rsidRDefault="006D375A" w:rsidP="00D13320">
      <w:pPr>
        <w:ind w:left="567"/>
        <w:jc w:val="both"/>
        <w:rPr>
          <w:sz w:val="16"/>
          <w:szCs w:val="16"/>
        </w:rPr>
      </w:pPr>
    </w:p>
    <w:p w:rsidR="006D375A" w:rsidRDefault="006D375A" w:rsidP="00D13320">
      <w:pPr>
        <w:ind w:left="567"/>
        <w:jc w:val="both"/>
        <w:rPr>
          <w:sz w:val="16"/>
          <w:szCs w:val="16"/>
        </w:rPr>
      </w:pPr>
      <w:r w:rsidRPr="00D13320">
        <w:rPr>
          <w:sz w:val="16"/>
          <w:szCs w:val="16"/>
        </w:rPr>
        <w:t xml:space="preserve">Artículo 2.- Para los efectos de la presente Ley, se entiende por concentración la realización de los siguientes actos: la fusión; la constitución de una empresa en común; la adquisición directa o indirecta del control sobre otras empresas a través de la adquisición de acciones, participaciones, o a través de cualquier otro contrato o figura jurídica que confiera el control directo o indirecto de una empresa incluyendo la celebración de contratos de asociación "joint venture", asociación en participación, uso o usufructo de acciones y/o participaciones, contratos de gerencia, de gestión, y de sindicación de acciones o cualquier otro contrato de colaboración empresarial similar, análogo y/o parecido y de consecuencias similares. Asimismo, la adquisición de activos productivos de cualquier empresa que desarrolle actividades en el sector; o cualquier otro acto, contrato o figura jurídica incluyendo legados, por virtud del cual se concentren sociedades, asociaciones, acciones, partes sociales, fideicomisos o activos en general, que se realice entre competidores, proveedores, clientes, accionistas o cualesquiera otros agentes económicos. </w:t>
      </w:r>
    </w:p>
    <w:p w:rsidR="006D375A" w:rsidRDefault="006D375A" w:rsidP="00D13320">
      <w:pPr>
        <w:ind w:left="567"/>
        <w:jc w:val="both"/>
        <w:rPr>
          <w:sz w:val="16"/>
          <w:szCs w:val="16"/>
        </w:rPr>
      </w:pPr>
    </w:p>
    <w:p w:rsidR="006D375A" w:rsidRPr="00D13320" w:rsidRDefault="006D375A" w:rsidP="00D13320">
      <w:pPr>
        <w:ind w:left="567"/>
        <w:jc w:val="both"/>
        <w:rPr>
          <w:b/>
          <w:sz w:val="16"/>
          <w:szCs w:val="16"/>
        </w:rPr>
      </w:pPr>
      <w:r w:rsidRPr="00D13320">
        <w:rPr>
          <w:sz w:val="16"/>
          <w:szCs w:val="16"/>
        </w:rPr>
        <w:t xml:space="preserve">No se considera que existe concentración cuando el control lo adquiera una persona en virtud de un mandato temporal conferido por la legislación relativa a la caducidad o denuncia de la concesión, reestructuración patrimonial u otro procedimiento análogo. </w:t>
      </w:r>
    </w:p>
    <w:p w:rsidR="006D375A" w:rsidRPr="0003469F" w:rsidRDefault="006D375A" w:rsidP="00D13320">
      <w:pPr>
        <w:ind w:left="567"/>
        <w:jc w:val="both"/>
        <w:rPr>
          <w:b/>
          <w:sz w:val="16"/>
          <w:szCs w:val="16"/>
        </w:rPr>
      </w:pPr>
    </w:p>
  </w:footnote>
  <w:footnote w:id="21">
    <w:p w:rsidR="006D375A" w:rsidRPr="009E79F9" w:rsidRDefault="006D375A" w:rsidP="00072585">
      <w:pPr>
        <w:ind w:left="567" w:hanging="567"/>
        <w:jc w:val="both"/>
        <w:rPr>
          <w:sz w:val="16"/>
          <w:szCs w:val="16"/>
        </w:rPr>
      </w:pPr>
      <w:r w:rsidRPr="009E79F9">
        <w:rPr>
          <w:sz w:val="16"/>
          <w:szCs w:val="16"/>
          <w:vertAlign w:val="superscript"/>
        </w:rPr>
        <w:footnoteRef/>
      </w:r>
      <w:r w:rsidRPr="009E79F9">
        <w:rPr>
          <w:sz w:val="16"/>
          <w:szCs w:val="16"/>
        </w:rPr>
        <w:t xml:space="preserve"> </w:t>
      </w:r>
      <w:r w:rsidRPr="009E79F9">
        <w:rPr>
          <w:sz w:val="16"/>
          <w:szCs w:val="16"/>
        </w:rPr>
        <w:tab/>
        <w:t>Mayor detalle de la discusión llevada a cabo en el año 2015 en &lt;</w:t>
      </w:r>
      <w:hyperlink r:id="rId3">
        <w:r w:rsidRPr="009E79F9">
          <w:rPr>
            <w:color w:val="1155CC"/>
            <w:sz w:val="16"/>
            <w:szCs w:val="16"/>
            <w:u w:val="single"/>
          </w:rPr>
          <w:t>https://gestion.pe/economia/luz-sur-ve-razon-legal-le-impida-central-quillabamba-106722</w:t>
        </w:r>
      </w:hyperlink>
      <w:r w:rsidRPr="009E79F9">
        <w:rPr>
          <w:sz w:val="16"/>
          <w:szCs w:val="16"/>
        </w:rPr>
        <w:t xml:space="preserve">&gt;. Fecha de consulta: 25 de junio de 2019. </w:t>
      </w:r>
    </w:p>
  </w:footnote>
  <w:footnote w:id="22">
    <w:p w:rsidR="006D375A" w:rsidRDefault="006D375A" w:rsidP="0003469F">
      <w:pPr>
        <w:ind w:left="567" w:hanging="567"/>
        <w:jc w:val="both"/>
        <w:rPr>
          <w:b/>
          <w:sz w:val="16"/>
          <w:szCs w:val="16"/>
        </w:rPr>
      </w:pPr>
      <w:r w:rsidRPr="005D636C">
        <w:rPr>
          <w:sz w:val="16"/>
          <w:szCs w:val="16"/>
          <w:vertAlign w:val="superscript"/>
        </w:rPr>
        <w:footnoteRef/>
      </w:r>
      <w:r w:rsidRPr="005D636C">
        <w:rPr>
          <w:sz w:val="16"/>
          <w:szCs w:val="16"/>
        </w:rPr>
        <w:t xml:space="preserve"> </w:t>
      </w:r>
      <w:r w:rsidRPr="005D636C">
        <w:rPr>
          <w:sz w:val="16"/>
          <w:szCs w:val="16"/>
        </w:rPr>
        <w:tab/>
      </w:r>
      <w:r>
        <w:rPr>
          <w:b/>
          <w:sz w:val="16"/>
          <w:szCs w:val="16"/>
        </w:rPr>
        <w:t>Ley 26876</w:t>
      </w:r>
    </w:p>
    <w:p w:rsidR="006D375A" w:rsidRDefault="006D375A" w:rsidP="0003469F">
      <w:pPr>
        <w:ind w:left="567"/>
        <w:jc w:val="both"/>
        <w:rPr>
          <w:sz w:val="16"/>
          <w:szCs w:val="16"/>
        </w:rPr>
      </w:pPr>
      <w:r w:rsidRPr="0003469F">
        <w:rPr>
          <w:sz w:val="16"/>
          <w:szCs w:val="16"/>
        </w:rPr>
        <w:t xml:space="preserve">Artículo 3.- Antes de realizar actos de concentración en las actividades de generación y/o de transmisión y/o de distribución de energía, con las condiciones y características establecidas en el párrafo siguiente, deberá solicitarse la autorización previa de la Comisión de Libre Competencia del Instituto Nacional de Defensa de la Competencia y de la Protección de la Propiedad Intelectual - INDECOPI, sin cuya aprobación no podrán realizarse, ni tendrán efecto legal alguno. </w:t>
      </w:r>
    </w:p>
    <w:p w:rsidR="006D375A" w:rsidRDefault="006D375A" w:rsidP="0003469F">
      <w:pPr>
        <w:ind w:left="567"/>
        <w:jc w:val="both"/>
        <w:rPr>
          <w:sz w:val="16"/>
          <w:szCs w:val="16"/>
        </w:rPr>
      </w:pPr>
      <w:r w:rsidRPr="0003469F">
        <w:rPr>
          <w:sz w:val="16"/>
          <w:szCs w:val="16"/>
        </w:rPr>
        <w:t xml:space="preserve">Deberá solicitarse la autorización previa respecto de los actos de concentración que involucren, directa o indirectamente, a empresas que desarrollan actividades de generación y/o transmisión y/o distribución de energía eléctrica que posean previa o posteriormente al acto que originó la solicitud de autorización, de manera conjunta o separada, un porcentaje igual o mayor al 15% del mercado en los actos de concentración horizontal. En el caso de actos de concentración vertical, aquellos que involucren, directa o indirectamente, a empresas que desarrollan actividades de generación y/o transmisión y/o distribución de energía eléctrica que posean previa o posteriormente al acto que originó la solicitud de autorización, un porcentaje igual o mayor al 5% de cualquiera de los mercados involucrados. </w:t>
      </w:r>
    </w:p>
    <w:p w:rsidR="006D375A" w:rsidRPr="0003469F" w:rsidRDefault="006D375A" w:rsidP="0003469F">
      <w:pPr>
        <w:ind w:left="567"/>
        <w:jc w:val="both"/>
        <w:rPr>
          <w:b/>
          <w:sz w:val="16"/>
          <w:szCs w:val="16"/>
        </w:rPr>
      </w:pPr>
    </w:p>
  </w:footnote>
  <w:footnote w:id="23">
    <w:p w:rsidR="006D375A" w:rsidRDefault="006D375A" w:rsidP="00B24726">
      <w:pPr>
        <w:ind w:left="567" w:hanging="567"/>
        <w:jc w:val="both"/>
        <w:rPr>
          <w:sz w:val="16"/>
          <w:szCs w:val="16"/>
        </w:rPr>
      </w:pPr>
      <w:r w:rsidRPr="009E79F9">
        <w:rPr>
          <w:sz w:val="16"/>
          <w:szCs w:val="16"/>
          <w:vertAlign w:val="superscript"/>
        </w:rPr>
        <w:footnoteRef/>
      </w:r>
      <w:r w:rsidRPr="009E79F9">
        <w:rPr>
          <w:sz w:val="16"/>
          <w:szCs w:val="16"/>
        </w:rPr>
        <w:t xml:space="preserve"> </w:t>
      </w:r>
      <w:r w:rsidRPr="009E79F9">
        <w:rPr>
          <w:sz w:val="16"/>
          <w:szCs w:val="16"/>
        </w:rPr>
        <w:tab/>
      </w:r>
      <w:r w:rsidRPr="006D0036">
        <w:rPr>
          <w:sz w:val="16"/>
          <w:szCs w:val="16"/>
        </w:rPr>
        <w:t xml:space="preserve">La Corte Suprema de los Estados Unidos de América en el caso </w:t>
      </w:r>
      <w:r w:rsidRPr="006D0036">
        <w:rPr>
          <w:i/>
          <w:sz w:val="16"/>
          <w:szCs w:val="16"/>
        </w:rPr>
        <w:t>Mandeville Island Farms</w:t>
      </w:r>
      <w:r w:rsidRPr="006D0036">
        <w:rPr>
          <w:sz w:val="16"/>
          <w:szCs w:val="16"/>
        </w:rPr>
        <w:t xml:space="preserve"> v. </w:t>
      </w:r>
      <w:r w:rsidRPr="006D0036">
        <w:rPr>
          <w:i/>
          <w:sz w:val="16"/>
          <w:szCs w:val="16"/>
        </w:rPr>
        <w:t>American Crystal Sugar Co.</w:t>
      </w:r>
      <w:r w:rsidRPr="006D0036">
        <w:rPr>
          <w:sz w:val="16"/>
          <w:szCs w:val="16"/>
        </w:rPr>
        <w:t xml:space="preserve"> precisó que para la aplicación de la Sherman Act el análisis debería ser enfatizado en los efectos y no en la localización de la conducta del agente denunciado.</w:t>
      </w:r>
      <w:r>
        <w:rPr>
          <w:sz w:val="16"/>
          <w:szCs w:val="16"/>
        </w:rPr>
        <w:tab/>
      </w:r>
    </w:p>
    <w:p w:rsidR="006D375A" w:rsidRPr="00E53C56" w:rsidRDefault="006D375A" w:rsidP="00E53C56">
      <w:pPr>
        <w:pStyle w:val="NormalWeb"/>
        <w:ind w:left="567"/>
        <w:rPr>
          <w:b/>
          <w:sz w:val="16"/>
          <w:szCs w:val="16"/>
        </w:rPr>
      </w:pPr>
      <w:r w:rsidRPr="00B24726">
        <w:rPr>
          <w:b/>
          <w:sz w:val="16"/>
          <w:szCs w:val="16"/>
        </w:rPr>
        <w:t>Ley 26876</w:t>
      </w:r>
      <w:r w:rsidRPr="00B24726">
        <w:rPr>
          <w:b/>
          <w:sz w:val="16"/>
          <w:szCs w:val="16"/>
        </w:rPr>
        <w:br/>
      </w:r>
      <w:r w:rsidRPr="00B24726">
        <w:rPr>
          <w:sz w:val="16"/>
          <w:szCs w:val="16"/>
        </w:rPr>
        <w:t xml:space="preserve">Artículo 9.- Quedan comprendidos dentro del ámbito de la presente Ley, aquellos actos de concentración que no obstante realizarse en el extranjero, involucren directa o indirectamente a empresas que, desarrollan actividades de generación y/o de transmisión y/o de distribución de energía eléctrica en el territorio nacional. </w:t>
      </w:r>
      <w:r>
        <w:rPr>
          <w:sz w:val="16"/>
          <w:szCs w:val="16"/>
        </w:rPr>
        <w:t>(…)</w:t>
      </w:r>
      <w:r w:rsidRPr="00B24726">
        <w:rPr>
          <w:sz w:val="16"/>
          <w:szCs w:val="16"/>
        </w:rPr>
        <w:t xml:space="preserve"> </w:t>
      </w:r>
    </w:p>
    <w:p w:rsidR="006D375A" w:rsidRPr="006D0036" w:rsidRDefault="006D375A">
      <w:pPr>
        <w:ind w:left="567" w:hanging="567"/>
        <w:jc w:val="both"/>
        <w:rPr>
          <w:sz w:val="16"/>
          <w:szCs w:val="16"/>
        </w:rPr>
      </w:pPr>
    </w:p>
    <w:p w:rsidR="006D375A" w:rsidRPr="006D0036" w:rsidRDefault="006D375A">
      <w:pPr>
        <w:numPr>
          <w:ilvl w:val="8"/>
          <w:numId w:val="11"/>
        </w:numPr>
        <w:ind w:left="284"/>
        <w:jc w:val="both"/>
        <w:rPr>
          <w:sz w:val="16"/>
          <w:szCs w:val="16"/>
        </w:rPr>
      </w:pPr>
    </w:p>
  </w:footnote>
  <w:footnote w:id="24">
    <w:p w:rsidR="006D375A" w:rsidRDefault="006D375A" w:rsidP="006D0036">
      <w:pPr>
        <w:ind w:left="567" w:hanging="567"/>
        <w:jc w:val="both"/>
        <w:rPr>
          <w:sz w:val="16"/>
          <w:szCs w:val="16"/>
        </w:rPr>
      </w:pPr>
      <w:r w:rsidRPr="006D0036">
        <w:rPr>
          <w:sz w:val="16"/>
          <w:szCs w:val="16"/>
          <w:vertAlign w:val="superscript"/>
        </w:rPr>
        <w:footnoteRef/>
      </w:r>
      <w:r w:rsidRPr="006D0036">
        <w:rPr>
          <w:sz w:val="16"/>
          <w:szCs w:val="16"/>
        </w:rPr>
        <w:t xml:space="preserve"> </w:t>
      </w:r>
      <w:r w:rsidRPr="006D0036">
        <w:rPr>
          <w:sz w:val="16"/>
          <w:szCs w:val="16"/>
        </w:rPr>
        <w:tab/>
      </w:r>
      <w:r>
        <w:rPr>
          <w:sz w:val="16"/>
          <w:szCs w:val="16"/>
        </w:rPr>
        <w:t xml:space="preserve">El literal h) del artículo 2 del Reglamento de la Ley Antimonopolio y Antioligopolio del Sector Eléctrico establece que el control será evaluado en los términos y alcances establecidos en la Resolución SBS 001-98. Conforme a lo dispuesto en la Segunda Disposición Final y Transitoria, toda referencia a la Resolución SBS 001-98, así como a las normas especiales sobre vinculación y grupo económico deberá ser entendida como referida a la Resolución SBS 5780-2015, que la sustituye. </w:t>
      </w:r>
    </w:p>
    <w:p w:rsidR="006D375A" w:rsidRDefault="006D375A" w:rsidP="006D0036">
      <w:pPr>
        <w:ind w:left="567"/>
        <w:jc w:val="both"/>
        <w:rPr>
          <w:sz w:val="16"/>
          <w:szCs w:val="16"/>
        </w:rPr>
      </w:pPr>
    </w:p>
  </w:footnote>
  <w:footnote w:id="25">
    <w:p w:rsidR="006D375A" w:rsidRPr="006D0036" w:rsidRDefault="006D375A" w:rsidP="006D0036">
      <w:pPr>
        <w:ind w:left="567" w:hanging="567"/>
        <w:jc w:val="both"/>
        <w:rPr>
          <w:sz w:val="16"/>
          <w:szCs w:val="16"/>
        </w:rPr>
      </w:pPr>
      <w:r w:rsidRPr="006D0036">
        <w:rPr>
          <w:sz w:val="16"/>
          <w:szCs w:val="16"/>
          <w:vertAlign w:val="superscript"/>
        </w:rPr>
        <w:footnoteRef/>
      </w:r>
      <w:r w:rsidRPr="006D0036">
        <w:rPr>
          <w:sz w:val="16"/>
          <w:szCs w:val="16"/>
        </w:rPr>
        <w:t xml:space="preserve"> </w:t>
      </w:r>
      <w:r w:rsidRPr="006D0036">
        <w:rPr>
          <w:sz w:val="16"/>
          <w:szCs w:val="16"/>
        </w:rPr>
        <w:tab/>
      </w:r>
      <w:r w:rsidRPr="006D0036">
        <w:rPr>
          <w:color w:val="000000"/>
          <w:sz w:val="16"/>
          <w:szCs w:val="16"/>
        </w:rPr>
        <w:t>Tales decisiones podrían ser, conforme a lo expuesto en la Secci</w:t>
      </w:r>
      <w:r w:rsidRPr="006D0036">
        <w:rPr>
          <w:sz w:val="16"/>
          <w:szCs w:val="16"/>
        </w:rPr>
        <w:t>ón 3.2.2. “Formas de control” d</w:t>
      </w:r>
      <w:r w:rsidRPr="006D0036">
        <w:rPr>
          <w:color w:val="000000"/>
          <w:sz w:val="16"/>
          <w:szCs w:val="16"/>
        </w:rPr>
        <w:t>el Informe 039-2019/</w:t>
      </w:r>
      <w:r w:rsidRPr="006D0036">
        <w:rPr>
          <w:sz w:val="16"/>
          <w:szCs w:val="16"/>
        </w:rPr>
        <w:t>ST-CLC-INDECOPI y la Sección VI La Adquisición de Control Genera una Operación de Concentración del Informe 011 -2001-INDECOPI/CLC,</w:t>
      </w:r>
      <w:r w:rsidRPr="006D0036">
        <w:rPr>
          <w:color w:val="000000"/>
          <w:sz w:val="16"/>
          <w:szCs w:val="16"/>
        </w:rPr>
        <w:t xml:space="preserve"> por ejemplo, la aprobación del presupuesto de la empresa, el plan estratégico, la definición de planes de inversión, el nombramiento de personal directivo como gerentes, funcionarios y miembros del Directorio.</w:t>
      </w:r>
    </w:p>
    <w:p w:rsidR="006D375A" w:rsidRPr="006D0036" w:rsidRDefault="006D375A" w:rsidP="006D0036">
      <w:pPr>
        <w:ind w:left="567"/>
        <w:jc w:val="both"/>
        <w:rPr>
          <w:sz w:val="16"/>
          <w:szCs w:val="16"/>
        </w:rPr>
      </w:pPr>
    </w:p>
  </w:footnote>
  <w:footnote w:id="26">
    <w:p w:rsidR="006D375A" w:rsidRDefault="006D375A">
      <w:pPr>
        <w:ind w:left="567" w:hanging="567"/>
        <w:rPr>
          <w:sz w:val="16"/>
          <w:szCs w:val="16"/>
        </w:rPr>
      </w:pPr>
      <w:r>
        <w:rPr>
          <w:vertAlign w:val="superscript"/>
        </w:rPr>
        <w:footnoteRef/>
      </w:r>
      <w:r>
        <w:rPr>
          <w:sz w:val="16"/>
          <w:szCs w:val="16"/>
        </w:rPr>
        <w:t xml:space="preserve"> </w:t>
      </w:r>
      <w:r>
        <w:rPr>
          <w:sz w:val="16"/>
          <w:szCs w:val="16"/>
        </w:rPr>
        <w:tab/>
        <w:t xml:space="preserve">Ver Caso M.8228 de la Comisión Europea – </w:t>
      </w:r>
      <w:r>
        <w:rPr>
          <w:i/>
          <w:sz w:val="16"/>
          <w:szCs w:val="16"/>
        </w:rPr>
        <w:t xml:space="preserve">Facebook/WhatsApp. </w:t>
      </w:r>
    </w:p>
  </w:footnote>
  <w:footnote w:id="27">
    <w:p w:rsidR="006D375A" w:rsidRPr="008965C6" w:rsidRDefault="006D375A">
      <w:pPr>
        <w:ind w:left="567" w:hanging="567"/>
        <w:rPr>
          <w:sz w:val="16"/>
          <w:szCs w:val="16"/>
        </w:rPr>
      </w:pPr>
      <w:r w:rsidRPr="008965C6">
        <w:rPr>
          <w:sz w:val="16"/>
          <w:szCs w:val="16"/>
          <w:vertAlign w:val="superscript"/>
        </w:rPr>
        <w:footnoteRef/>
      </w:r>
      <w:r w:rsidRPr="008965C6">
        <w:rPr>
          <w:sz w:val="16"/>
          <w:szCs w:val="16"/>
        </w:rPr>
        <w:t xml:space="preserve"> </w:t>
      </w:r>
      <w:r w:rsidRPr="008965C6">
        <w:rPr>
          <w:sz w:val="16"/>
          <w:szCs w:val="16"/>
        </w:rPr>
        <w:tab/>
        <w:t xml:space="preserve">Ver Decisión del </w:t>
      </w:r>
      <w:r w:rsidRPr="008965C6">
        <w:rPr>
          <w:color w:val="000000"/>
          <w:sz w:val="16"/>
          <w:szCs w:val="16"/>
        </w:rPr>
        <w:t xml:space="preserve">Consejo de Competencia danés del </w:t>
      </w:r>
      <w:r w:rsidRPr="008965C6">
        <w:rPr>
          <w:color w:val="000000"/>
          <w:sz w:val="16"/>
          <w:szCs w:val="16"/>
          <w:highlight w:val="white"/>
        </w:rPr>
        <w:t xml:space="preserve">17 de Diciembre de 2014. </w:t>
      </w:r>
    </w:p>
  </w:footnote>
  <w:footnote w:id="28">
    <w:p w:rsidR="006D375A" w:rsidRPr="008965C6" w:rsidRDefault="006D375A" w:rsidP="008965C6">
      <w:pPr>
        <w:ind w:left="567" w:hanging="567"/>
        <w:rPr>
          <w:color w:val="000000"/>
          <w:sz w:val="16"/>
          <w:szCs w:val="16"/>
        </w:rPr>
      </w:pPr>
      <w:r w:rsidRPr="008965C6">
        <w:rPr>
          <w:sz w:val="16"/>
          <w:szCs w:val="16"/>
          <w:vertAlign w:val="superscript"/>
        </w:rPr>
        <w:footnoteRef/>
      </w:r>
      <w:r w:rsidRPr="008965C6">
        <w:rPr>
          <w:color w:val="000000"/>
          <w:sz w:val="16"/>
          <w:szCs w:val="16"/>
        </w:rPr>
        <w:t xml:space="preserve"> </w:t>
      </w:r>
      <w:r w:rsidRPr="008965C6">
        <w:rPr>
          <w:color w:val="000000"/>
          <w:sz w:val="16"/>
          <w:szCs w:val="16"/>
        </w:rPr>
        <w:tab/>
        <w:t xml:space="preserve">Triple análisis planteado por primera vez en el caso Bertelsmann, Kirch y Premiere. Asunto no IV/M.993. </w:t>
      </w:r>
    </w:p>
  </w:footnote>
  <w:footnote w:id="29">
    <w:p w:rsidR="006D375A" w:rsidRPr="008965C6" w:rsidRDefault="006D375A">
      <w:pPr>
        <w:ind w:left="567" w:hanging="567"/>
        <w:rPr>
          <w:color w:val="000000"/>
          <w:sz w:val="16"/>
          <w:szCs w:val="16"/>
        </w:rPr>
      </w:pPr>
      <w:r w:rsidRPr="008965C6">
        <w:rPr>
          <w:sz w:val="16"/>
          <w:szCs w:val="16"/>
          <w:vertAlign w:val="superscript"/>
        </w:rPr>
        <w:footnoteRef/>
      </w:r>
      <w:r w:rsidRPr="008965C6">
        <w:rPr>
          <w:color w:val="000000"/>
          <w:sz w:val="16"/>
          <w:szCs w:val="16"/>
        </w:rPr>
        <w:t xml:space="preserve"> </w:t>
      </w:r>
      <w:r w:rsidRPr="008965C6">
        <w:rPr>
          <w:color w:val="000000"/>
          <w:sz w:val="16"/>
          <w:szCs w:val="16"/>
        </w:rPr>
        <w:tab/>
        <w:t xml:space="preserve">Ver pronunciamiento del Tribunal de Justicia de la Unión Europea en el </w:t>
      </w:r>
      <w:r w:rsidRPr="008965C6">
        <w:rPr>
          <w:color w:val="000000"/>
          <w:sz w:val="16"/>
          <w:szCs w:val="16"/>
          <w:highlight w:val="white"/>
        </w:rPr>
        <w:t>Caso C-633/16</w:t>
      </w:r>
      <w:r w:rsidRPr="008965C6">
        <w:rPr>
          <w:color w:val="000000"/>
          <w:sz w:val="16"/>
          <w:szCs w:val="16"/>
        </w:rPr>
        <w:t xml:space="preserve">. </w:t>
      </w:r>
    </w:p>
  </w:footnote>
  <w:footnote w:id="30">
    <w:p w:rsidR="006D375A" w:rsidRPr="00046522" w:rsidRDefault="006D375A">
      <w:pPr>
        <w:ind w:left="567" w:hanging="567"/>
        <w:rPr>
          <w:sz w:val="16"/>
          <w:szCs w:val="16"/>
        </w:rPr>
      </w:pPr>
      <w:r w:rsidRPr="008965C6">
        <w:rPr>
          <w:sz w:val="16"/>
          <w:szCs w:val="16"/>
          <w:vertAlign w:val="superscript"/>
        </w:rPr>
        <w:footnoteRef/>
      </w:r>
      <w:r w:rsidRPr="008965C6">
        <w:rPr>
          <w:color w:val="000000"/>
          <w:sz w:val="16"/>
          <w:szCs w:val="16"/>
        </w:rPr>
        <w:t xml:space="preserve"> </w:t>
      </w:r>
      <w:r w:rsidRPr="008965C6">
        <w:rPr>
          <w:color w:val="000000"/>
          <w:sz w:val="16"/>
          <w:szCs w:val="16"/>
        </w:rPr>
        <w:tab/>
        <w:t xml:space="preserve">Ver Opinión del Abogado General Nils Wahl </w:t>
      </w:r>
      <w:r w:rsidRPr="008965C6">
        <w:rPr>
          <w:color w:val="000000"/>
          <w:sz w:val="16"/>
          <w:szCs w:val="16"/>
          <w:highlight w:val="white"/>
        </w:rPr>
        <w:t>en el Caso C-633/16</w:t>
      </w:r>
      <w:r w:rsidRPr="008965C6">
        <w:rPr>
          <w:color w:val="000000"/>
          <w:sz w:val="16"/>
          <w:szCs w:val="16"/>
        </w:rPr>
        <w:t>.</w:t>
      </w:r>
    </w:p>
  </w:footnote>
  <w:footnote w:id="31">
    <w:p w:rsidR="006D375A" w:rsidRPr="00496C5C" w:rsidRDefault="006D375A">
      <w:pPr>
        <w:ind w:left="567" w:hanging="567"/>
        <w:jc w:val="both"/>
        <w:rPr>
          <w:i/>
          <w:sz w:val="16"/>
          <w:szCs w:val="16"/>
        </w:rPr>
      </w:pPr>
      <w:r w:rsidRPr="00046522">
        <w:rPr>
          <w:sz w:val="16"/>
          <w:szCs w:val="16"/>
          <w:vertAlign w:val="superscript"/>
        </w:rPr>
        <w:footnoteRef/>
      </w:r>
      <w:r w:rsidRPr="00046522">
        <w:rPr>
          <w:sz w:val="16"/>
          <w:szCs w:val="16"/>
        </w:rPr>
        <w:t xml:space="preserve"> </w:t>
      </w:r>
      <w:r w:rsidRPr="00046522">
        <w:rPr>
          <w:sz w:val="16"/>
          <w:szCs w:val="16"/>
        </w:rPr>
        <w:tab/>
        <w:t xml:space="preserve">Ver Reglamento (CE) </w:t>
      </w:r>
      <w:r w:rsidRPr="00496C5C">
        <w:rPr>
          <w:sz w:val="16"/>
          <w:szCs w:val="16"/>
        </w:rPr>
        <w:t>139/2004.</w:t>
      </w:r>
    </w:p>
    <w:p w:rsidR="006D375A" w:rsidRPr="00496C5C" w:rsidRDefault="006D375A">
      <w:pPr>
        <w:ind w:left="567"/>
        <w:jc w:val="both"/>
        <w:rPr>
          <w:b/>
          <w:sz w:val="16"/>
          <w:szCs w:val="16"/>
        </w:rPr>
      </w:pPr>
      <w:r w:rsidRPr="00496C5C">
        <w:rPr>
          <w:b/>
          <w:i/>
          <w:sz w:val="16"/>
          <w:szCs w:val="16"/>
        </w:rPr>
        <w:t xml:space="preserve">Artículo 8 </w:t>
      </w:r>
      <w:r w:rsidRPr="00496C5C">
        <w:rPr>
          <w:b/>
          <w:sz w:val="16"/>
          <w:szCs w:val="16"/>
        </w:rPr>
        <w:t>Poderes de decisión de la Comisión</w:t>
      </w:r>
    </w:p>
    <w:p w:rsidR="006D375A" w:rsidRPr="00496C5C" w:rsidRDefault="006D375A">
      <w:pPr>
        <w:ind w:left="567" w:hanging="567"/>
        <w:jc w:val="both"/>
        <w:rPr>
          <w:sz w:val="16"/>
          <w:szCs w:val="16"/>
        </w:rPr>
      </w:pPr>
      <w:r w:rsidRPr="00496C5C">
        <w:rPr>
          <w:sz w:val="16"/>
          <w:szCs w:val="16"/>
        </w:rPr>
        <w:t xml:space="preserve"> </w:t>
      </w:r>
      <w:r w:rsidRPr="00496C5C">
        <w:rPr>
          <w:sz w:val="16"/>
          <w:szCs w:val="16"/>
        </w:rPr>
        <w:tab/>
        <w:t>5. La Comisión podrá tomar medidas provisionales adecuadas para restablecer o mantener las condiciones de una competencia efectiva cuando una concentración:</w:t>
      </w:r>
    </w:p>
    <w:p w:rsidR="006D375A" w:rsidRPr="00496C5C" w:rsidRDefault="006D375A">
      <w:pPr>
        <w:ind w:left="567"/>
        <w:jc w:val="both"/>
        <w:rPr>
          <w:sz w:val="16"/>
          <w:szCs w:val="16"/>
        </w:rPr>
      </w:pPr>
      <w:r w:rsidRPr="00496C5C">
        <w:rPr>
          <w:sz w:val="16"/>
          <w:szCs w:val="16"/>
        </w:rPr>
        <w:t>a) se ha ejecutado contraviniendo el artículo 7 y no se ha tomado aún una decisión sobre la compatibilidad de la concentración con el mercado común;</w:t>
      </w:r>
    </w:p>
    <w:p w:rsidR="006D375A" w:rsidRPr="00496C5C" w:rsidRDefault="006D375A">
      <w:pPr>
        <w:ind w:left="567"/>
        <w:jc w:val="both"/>
        <w:rPr>
          <w:sz w:val="16"/>
          <w:szCs w:val="16"/>
        </w:rPr>
      </w:pPr>
      <w:r w:rsidRPr="00496C5C">
        <w:rPr>
          <w:sz w:val="16"/>
          <w:szCs w:val="16"/>
        </w:rPr>
        <w:t>(...)</w:t>
      </w:r>
      <w:r w:rsidRPr="00496C5C">
        <w:rPr>
          <w:sz w:val="16"/>
          <w:szCs w:val="16"/>
        </w:rPr>
        <w:br/>
        <w:t>c) ya se ha ejecutado y es declarada incompatible con el mercado común.</w:t>
      </w:r>
    </w:p>
    <w:p w:rsidR="006D375A" w:rsidRPr="00496C5C" w:rsidRDefault="006D375A">
      <w:pPr>
        <w:rPr>
          <w:sz w:val="16"/>
          <w:szCs w:val="16"/>
        </w:rPr>
      </w:pPr>
    </w:p>
  </w:footnote>
  <w:footnote w:id="32">
    <w:p w:rsidR="006D375A" w:rsidRPr="00496C5C" w:rsidRDefault="006D375A">
      <w:pPr>
        <w:ind w:left="567" w:hanging="567"/>
        <w:rPr>
          <w:sz w:val="16"/>
          <w:szCs w:val="16"/>
        </w:rPr>
      </w:pPr>
      <w:r w:rsidRPr="00496C5C">
        <w:rPr>
          <w:sz w:val="16"/>
          <w:szCs w:val="16"/>
          <w:vertAlign w:val="superscript"/>
        </w:rPr>
        <w:footnoteRef/>
      </w:r>
      <w:r w:rsidRPr="00496C5C">
        <w:rPr>
          <w:sz w:val="16"/>
          <w:szCs w:val="16"/>
        </w:rPr>
        <w:t xml:space="preserve"> </w:t>
      </w:r>
      <w:r w:rsidRPr="00496C5C">
        <w:rPr>
          <w:sz w:val="16"/>
          <w:szCs w:val="16"/>
        </w:rPr>
        <w:tab/>
      </w:r>
      <w:r w:rsidRPr="00496C5C">
        <w:rPr>
          <w:color w:val="000000"/>
          <w:sz w:val="16"/>
          <w:szCs w:val="16"/>
        </w:rPr>
        <w:t xml:space="preserve">Ver Opinión del Abogado General Nils Wahl </w:t>
      </w:r>
      <w:r w:rsidRPr="00496C5C">
        <w:rPr>
          <w:color w:val="000000"/>
          <w:sz w:val="16"/>
          <w:szCs w:val="16"/>
          <w:highlight w:val="white"/>
        </w:rPr>
        <w:t>en el Caso C-633/16</w:t>
      </w:r>
      <w:r w:rsidRPr="00496C5C">
        <w:rPr>
          <w:color w:val="000000"/>
          <w:sz w:val="16"/>
          <w:szCs w:val="16"/>
        </w:rPr>
        <w:t>.</w:t>
      </w:r>
    </w:p>
  </w:footnote>
  <w:footnote w:id="33">
    <w:p w:rsidR="006D375A" w:rsidRDefault="006D375A" w:rsidP="00496C5C">
      <w:pPr>
        <w:ind w:left="567" w:hanging="567"/>
        <w:rPr>
          <w:sz w:val="20"/>
          <w:szCs w:val="20"/>
        </w:rPr>
      </w:pPr>
      <w:r w:rsidRPr="00496C5C">
        <w:rPr>
          <w:sz w:val="16"/>
          <w:szCs w:val="16"/>
          <w:vertAlign w:val="superscript"/>
        </w:rPr>
        <w:footnoteRef/>
      </w:r>
      <w:r w:rsidRPr="00496C5C">
        <w:rPr>
          <w:color w:val="000000"/>
          <w:sz w:val="16"/>
          <w:szCs w:val="16"/>
        </w:rPr>
        <w:t xml:space="preserve"> </w:t>
      </w:r>
      <w:r>
        <w:rPr>
          <w:color w:val="000000"/>
          <w:sz w:val="16"/>
          <w:szCs w:val="16"/>
        </w:rPr>
        <w:tab/>
      </w:r>
      <w:r w:rsidRPr="00496C5C">
        <w:rPr>
          <w:color w:val="000000"/>
          <w:sz w:val="16"/>
          <w:szCs w:val="16"/>
        </w:rPr>
        <w:t xml:space="preserve">Ver pronunciamiento del Tribunal de Justicia de la Unión Europea en el </w:t>
      </w:r>
      <w:r w:rsidRPr="00496C5C">
        <w:rPr>
          <w:color w:val="000000"/>
          <w:sz w:val="16"/>
          <w:szCs w:val="16"/>
          <w:highlight w:val="white"/>
        </w:rPr>
        <w:t>Caso C-633/16</w:t>
      </w:r>
      <w:r w:rsidRPr="00496C5C">
        <w:rPr>
          <w:color w:val="000000"/>
          <w:sz w:val="16"/>
          <w:szCs w:val="16"/>
        </w:rPr>
        <w:t>.</w:t>
      </w:r>
    </w:p>
  </w:footnote>
  <w:footnote w:id="34">
    <w:p w:rsidR="006D375A" w:rsidRPr="005A478B" w:rsidRDefault="006D375A">
      <w:pPr>
        <w:ind w:left="567" w:hanging="567"/>
        <w:rPr>
          <w:sz w:val="16"/>
          <w:szCs w:val="16"/>
          <w:lang w:val="en-US"/>
        </w:rPr>
      </w:pPr>
      <w:r>
        <w:rPr>
          <w:vertAlign w:val="superscript"/>
        </w:rPr>
        <w:footnoteRef/>
      </w:r>
      <w:r w:rsidRPr="005A478B">
        <w:rPr>
          <w:sz w:val="16"/>
          <w:szCs w:val="16"/>
          <w:lang w:val="en-US"/>
        </w:rPr>
        <w:t xml:space="preserve"> </w:t>
      </w:r>
      <w:r w:rsidRPr="005A478B">
        <w:rPr>
          <w:sz w:val="16"/>
          <w:szCs w:val="16"/>
          <w:lang w:val="en-US"/>
        </w:rPr>
        <w:tab/>
        <w:t xml:space="preserve">Ver </w:t>
      </w:r>
      <w:r w:rsidRPr="005A478B">
        <w:rPr>
          <w:color w:val="172938"/>
          <w:sz w:val="16"/>
          <w:szCs w:val="16"/>
          <w:highlight w:val="white"/>
          <w:lang w:val="en-US"/>
        </w:rPr>
        <w:t>Administrative Proceeding for Assessments regarding Mergers No. 08700.011836/2015-49</w:t>
      </w:r>
      <w:r w:rsidRPr="005A478B">
        <w:rPr>
          <w:color w:val="172938"/>
          <w:sz w:val="16"/>
          <w:szCs w:val="16"/>
          <w:lang w:val="en-US"/>
        </w:rPr>
        <w:t>.</w:t>
      </w:r>
    </w:p>
  </w:footnote>
  <w:footnote w:id="35">
    <w:p w:rsidR="006D375A" w:rsidRDefault="006D375A">
      <w:pPr>
        <w:ind w:left="567" w:hanging="567"/>
        <w:rPr>
          <w:color w:val="6F6F6F"/>
          <w:sz w:val="16"/>
          <w:szCs w:val="16"/>
        </w:rPr>
      </w:pPr>
      <w:r>
        <w:rPr>
          <w:vertAlign w:val="superscript"/>
        </w:rPr>
        <w:footnoteRef/>
      </w:r>
      <w:r>
        <w:rPr>
          <w:sz w:val="16"/>
          <w:szCs w:val="16"/>
        </w:rPr>
        <w:t xml:space="preserve"> </w:t>
      </w:r>
      <w:r>
        <w:rPr>
          <w:sz w:val="16"/>
          <w:szCs w:val="16"/>
        </w:rPr>
        <w:tab/>
      </w:r>
      <w:r w:rsidRPr="0066148C">
        <w:rPr>
          <w:sz w:val="16"/>
          <w:szCs w:val="16"/>
        </w:rPr>
        <w:t xml:space="preserve">Ver Legh/Dini: Merger Control en Sudáfrica de Setiembre 2017. Otro caso es </w:t>
      </w:r>
      <w:r w:rsidRPr="0066148C">
        <w:rPr>
          <w:color w:val="000000"/>
          <w:sz w:val="16"/>
          <w:szCs w:val="16"/>
        </w:rPr>
        <w:t xml:space="preserve">India en la operación Holcim/Lafarge, caso C-2014/07/190, acuerdo implementado de forma global antes del pronunciamiento de la autoridad de competencia de la India </w:t>
      </w:r>
      <w:r w:rsidRPr="0066148C">
        <w:rPr>
          <w:sz w:val="16"/>
          <w:szCs w:val="16"/>
        </w:rPr>
        <w:t>disponible en http://www.cci.gov.in/sites/default/files/C-2014-07-190_0.pdf.</w:t>
      </w:r>
    </w:p>
  </w:footnote>
  <w:footnote w:id="36">
    <w:p w:rsidR="006D375A" w:rsidRPr="00145AB1" w:rsidRDefault="006D375A">
      <w:pPr>
        <w:ind w:left="567" w:hanging="567"/>
        <w:jc w:val="both"/>
        <w:rPr>
          <w:b/>
          <w:sz w:val="16"/>
          <w:szCs w:val="16"/>
        </w:rPr>
      </w:pPr>
      <w:r w:rsidRPr="00145AB1">
        <w:rPr>
          <w:sz w:val="16"/>
          <w:szCs w:val="16"/>
          <w:vertAlign w:val="superscript"/>
        </w:rPr>
        <w:footnoteRef/>
      </w:r>
      <w:r w:rsidRPr="00145AB1">
        <w:rPr>
          <w:sz w:val="16"/>
          <w:szCs w:val="16"/>
        </w:rPr>
        <w:t xml:space="preserve"> </w:t>
      </w:r>
      <w:r w:rsidRPr="00145AB1">
        <w:rPr>
          <w:sz w:val="16"/>
          <w:szCs w:val="16"/>
        </w:rPr>
        <w:tab/>
        <w:t xml:space="preserve">Ver en </w:t>
      </w:r>
      <w:r w:rsidRPr="00145AB1">
        <w:rPr>
          <w:b/>
          <w:sz w:val="16"/>
          <w:szCs w:val="16"/>
        </w:rPr>
        <w:t>Ley 27444</w:t>
      </w:r>
    </w:p>
    <w:p w:rsidR="006D375A" w:rsidRPr="00145AB1" w:rsidRDefault="006D375A">
      <w:pPr>
        <w:ind w:left="567"/>
        <w:jc w:val="both"/>
        <w:rPr>
          <w:sz w:val="16"/>
          <w:szCs w:val="16"/>
        </w:rPr>
      </w:pPr>
      <w:r w:rsidRPr="00145AB1">
        <w:rPr>
          <w:b/>
          <w:sz w:val="16"/>
          <w:szCs w:val="16"/>
        </w:rPr>
        <w:t>Artículo 10.- Causales de nulidad.-</w:t>
      </w:r>
      <w:r w:rsidRPr="00145AB1">
        <w:rPr>
          <w:sz w:val="16"/>
          <w:szCs w:val="16"/>
        </w:rPr>
        <w:t>Son vicios del acto administrativo, que causan su nulidad de pleno derecho, los siguientes:</w:t>
      </w:r>
    </w:p>
    <w:p w:rsidR="006D375A" w:rsidRPr="00145AB1" w:rsidRDefault="006D375A">
      <w:pPr>
        <w:ind w:left="567"/>
        <w:jc w:val="both"/>
        <w:rPr>
          <w:sz w:val="16"/>
          <w:szCs w:val="16"/>
        </w:rPr>
      </w:pPr>
      <w:r w:rsidRPr="00145AB1">
        <w:rPr>
          <w:sz w:val="16"/>
          <w:szCs w:val="16"/>
        </w:rPr>
        <w:t>(…)</w:t>
      </w:r>
      <w:r w:rsidRPr="00145AB1">
        <w:rPr>
          <w:sz w:val="16"/>
          <w:szCs w:val="16"/>
        </w:rPr>
        <w:br/>
        <w:t xml:space="preserve">2. El defecto o la omisión de alguno de sus requisitos de validez, salvo que se presente alguno de los supuestos de conservación del acto a que se refiere el artículo 14. </w:t>
      </w:r>
    </w:p>
    <w:p w:rsidR="006D375A" w:rsidRPr="00145AB1" w:rsidRDefault="006D375A">
      <w:pPr>
        <w:ind w:left="567"/>
        <w:jc w:val="both"/>
        <w:rPr>
          <w:sz w:val="16"/>
          <w:szCs w:val="16"/>
        </w:rPr>
      </w:pPr>
      <w:r w:rsidRPr="00145AB1">
        <w:rPr>
          <w:b/>
          <w:sz w:val="16"/>
          <w:szCs w:val="16"/>
        </w:rPr>
        <w:t>Artículo 3.- Requisitos de validez de los actos administrativos.-</w:t>
      </w:r>
      <w:r w:rsidRPr="00145AB1">
        <w:rPr>
          <w:sz w:val="16"/>
          <w:szCs w:val="16"/>
        </w:rPr>
        <w:t>Son requisitos de validez de los actos administrativos:</w:t>
      </w:r>
      <w:r w:rsidRPr="00145AB1">
        <w:rPr>
          <w:sz w:val="16"/>
          <w:szCs w:val="16"/>
        </w:rPr>
        <w:br/>
        <w:t xml:space="preserve">(…) </w:t>
      </w:r>
      <w:r w:rsidRPr="00145AB1">
        <w:rPr>
          <w:sz w:val="16"/>
          <w:szCs w:val="16"/>
        </w:rPr>
        <w:br/>
        <w:t xml:space="preserve">4.- Motivación.- El acto administrativo debe estar debidamente motivado en proporción al contenido y conforme al ordenamiento jurídico. </w:t>
      </w:r>
    </w:p>
    <w:p w:rsidR="006D375A" w:rsidRDefault="006D375A">
      <w:pPr>
        <w:rPr>
          <w:sz w:val="20"/>
          <w:szCs w:val="20"/>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7314F"/>
    <w:multiLevelType w:val="multilevel"/>
    <w:tmpl w:val="DB0C1F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864444"/>
    <w:multiLevelType w:val="multilevel"/>
    <w:tmpl w:val="709A47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B04398A"/>
    <w:multiLevelType w:val="multilevel"/>
    <w:tmpl w:val="344EFF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56A3F1C"/>
    <w:multiLevelType w:val="multilevel"/>
    <w:tmpl w:val="B82C1CA4"/>
    <w:lvl w:ilvl="0">
      <w:start w:val="5"/>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5E11373"/>
    <w:multiLevelType w:val="multilevel"/>
    <w:tmpl w:val="A00C7702"/>
    <w:lvl w:ilvl="0">
      <w:start w:val="1"/>
      <w:numFmt w:val="decimal"/>
      <w:lvlText w:val="%1."/>
      <w:lvlJc w:val="left"/>
      <w:pPr>
        <w:ind w:left="360" w:hanging="360"/>
      </w:pPr>
      <w:rPr>
        <w:rFonts w:ascii="Arial" w:eastAsia="Arial" w:hAnsi="Arial" w:cs="Arial"/>
        <w:sz w:val="22"/>
        <w:szCs w:val="22"/>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
      <w:lvlJc w:val="left"/>
      <w:pPr>
        <w:ind w:left="0" w:firstLine="0"/>
      </w:pPr>
      <w:rPr>
        <w:vertAlign w:val="baseline"/>
      </w:rPr>
    </w:lvl>
  </w:abstractNum>
  <w:abstractNum w:abstractNumId="5" w15:restartNumberingAfterBreak="0">
    <w:nsid w:val="19E04A83"/>
    <w:multiLevelType w:val="multilevel"/>
    <w:tmpl w:val="AE3CD5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7006576"/>
    <w:multiLevelType w:val="multilevel"/>
    <w:tmpl w:val="72F20F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7824FE3"/>
    <w:multiLevelType w:val="multilevel"/>
    <w:tmpl w:val="C84E0F76"/>
    <w:lvl w:ilvl="0">
      <w:start w:val="1"/>
      <w:numFmt w:val="decimal"/>
      <w:lvlText w:val="%1."/>
      <w:lvlJc w:val="left"/>
      <w:pPr>
        <w:ind w:left="1080" w:hanging="720"/>
      </w:pPr>
    </w:lvl>
    <w:lvl w:ilvl="1">
      <w:start w:val="1"/>
      <w:numFmt w:val="decimal"/>
      <w:lvlText w:val="%1.%2."/>
      <w:lvlJc w:val="left"/>
      <w:pPr>
        <w:ind w:left="1080" w:hanging="720"/>
      </w:pPr>
    </w:lvl>
    <w:lvl w:ilvl="2">
      <w:start w:val="1"/>
      <w:numFmt w:val="decimal"/>
      <w:lvlText w:val="%1.%2.%3."/>
      <w:lvlJc w:val="left"/>
      <w:pPr>
        <w:ind w:left="1440" w:hanging="1080"/>
      </w:pPr>
    </w:lvl>
    <w:lvl w:ilvl="3">
      <w:start w:val="1"/>
      <w:numFmt w:val="decimal"/>
      <w:lvlText w:val="%1.%2.%3.%4."/>
      <w:lvlJc w:val="left"/>
      <w:pPr>
        <w:ind w:left="1800" w:hanging="1440"/>
      </w:pPr>
    </w:lvl>
    <w:lvl w:ilvl="4">
      <w:start w:val="1"/>
      <w:numFmt w:val="decimal"/>
      <w:lvlText w:val="%1.%2.%3.%4.%5."/>
      <w:lvlJc w:val="left"/>
      <w:pPr>
        <w:ind w:left="1800" w:hanging="1440"/>
      </w:pPr>
    </w:lvl>
    <w:lvl w:ilvl="5">
      <w:start w:val="1"/>
      <w:numFmt w:val="decimal"/>
      <w:lvlText w:val="%1.%2.%3.%4.%5.%6."/>
      <w:lvlJc w:val="left"/>
      <w:pPr>
        <w:ind w:left="2160" w:hanging="1800"/>
      </w:pPr>
    </w:lvl>
    <w:lvl w:ilvl="6">
      <w:start w:val="1"/>
      <w:numFmt w:val="decimal"/>
      <w:lvlText w:val="%1.%2.%3.%4.%5.%6.%7."/>
      <w:lvlJc w:val="left"/>
      <w:pPr>
        <w:ind w:left="2520" w:hanging="2160"/>
      </w:pPr>
    </w:lvl>
    <w:lvl w:ilvl="7">
      <w:start w:val="1"/>
      <w:numFmt w:val="decimal"/>
      <w:lvlText w:val="%1.%2.%3.%4.%5.%6.%7.%8."/>
      <w:lvlJc w:val="left"/>
      <w:pPr>
        <w:ind w:left="2880" w:hanging="2520"/>
      </w:pPr>
    </w:lvl>
    <w:lvl w:ilvl="8">
      <w:start w:val="1"/>
      <w:numFmt w:val="decimal"/>
      <w:lvlText w:val="%1.%2.%3.%4.%5.%6.%7.%8.%9."/>
      <w:lvlJc w:val="left"/>
      <w:pPr>
        <w:ind w:left="2880" w:hanging="2520"/>
      </w:pPr>
    </w:lvl>
  </w:abstractNum>
  <w:abstractNum w:abstractNumId="8" w15:restartNumberingAfterBreak="0">
    <w:nsid w:val="2C5327E1"/>
    <w:multiLevelType w:val="multilevel"/>
    <w:tmpl w:val="34A85A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D0A0C26"/>
    <w:multiLevelType w:val="multilevel"/>
    <w:tmpl w:val="5E00C008"/>
    <w:lvl w:ilvl="0">
      <w:start w:val="1"/>
      <w:numFmt w:val="bullet"/>
      <w:lvlText w:val="●"/>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36035683"/>
    <w:multiLevelType w:val="hybridMultilevel"/>
    <w:tmpl w:val="4C9AFDB8"/>
    <w:lvl w:ilvl="0" w:tplc="040A0015">
      <w:start w:val="1"/>
      <w:numFmt w:val="upp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1" w15:restartNumberingAfterBreak="0">
    <w:nsid w:val="360A4900"/>
    <w:multiLevelType w:val="multilevel"/>
    <w:tmpl w:val="8F183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DD6000"/>
    <w:multiLevelType w:val="multilevel"/>
    <w:tmpl w:val="5EB84B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3A3E1089"/>
    <w:multiLevelType w:val="hybridMultilevel"/>
    <w:tmpl w:val="F2F8A0F8"/>
    <w:lvl w:ilvl="0" w:tplc="8EF25388">
      <w:start w:val="1959"/>
      <w:numFmt w:val="decimal"/>
      <w:lvlText w:val="%1"/>
      <w:lvlJc w:val="left"/>
      <w:pPr>
        <w:ind w:left="1020" w:hanging="660"/>
      </w:pPr>
      <w:rPr>
        <w:rFonts w:ascii="inherit" w:hAnsi="inherit" w:cs="Arial" w:hint="default"/>
        <w:b w:val="0"/>
        <w:color w:val="000000"/>
        <w:sz w:val="3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3E4D4F32"/>
    <w:multiLevelType w:val="multilevel"/>
    <w:tmpl w:val="C84E0F76"/>
    <w:lvl w:ilvl="0">
      <w:start w:val="1"/>
      <w:numFmt w:val="decimal"/>
      <w:lvlText w:val="%1."/>
      <w:lvlJc w:val="left"/>
      <w:pPr>
        <w:ind w:left="1080" w:hanging="720"/>
      </w:pPr>
    </w:lvl>
    <w:lvl w:ilvl="1">
      <w:start w:val="1"/>
      <w:numFmt w:val="decimal"/>
      <w:lvlText w:val="%1.%2."/>
      <w:lvlJc w:val="left"/>
      <w:pPr>
        <w:ind w:left="1080" w:hanging="720"/>
      </w:pPr>
    </w:lvl>
    <w:lvl w:ilvl="2">
      <w:start w:val="1"/>
      <w:numFmt w:val="decimal"/>
      <w:lvlText w:val="%1.%2.%3."/>
      <w:lvlJc w:val="left"/>
      <w:pPr>
        <w:ind w:left="1440" w:hanging="1080"/>
      </w:pPr>
    </w:lvl>
    <w:lvl w:ilvl="3">
      <w:start w:val="1"/>
      <w:numFmt w:val="decimal"/>
      <w:lvlText w:val="%1.%2.%3.%4."/>
      <w:lvlJc w:val="left"/>
      <w:pPr>
        <w:ind w:left="1800" w:hanging="1440"/>
      </w:pPr>
    </w:lvl>
    <w:lvl w:ilvl="4">
      <w:start w:val="1"/>
      <w:numFmt w:val="decimal"/>
      <w:lvlText w:val="%1.%2.%3.%4.%5."/>
      <w:lvlJc w:val="left"/>
      <w:pPr>
        <w:ind w:left="1800" w:hanging="1440"/>
      </w:pPr>
    </w:lvl>
    <w:lvl w:ilvl="5">
      <w:start w:val="1"/>
      <w:numFmt w:val="decimal"/>
      <w:lvlText w:val="%1.%2.%3.%4.%5.%6."/>
      <w:lvlJc w:val="left"/>
      <w:pPr>
        <w:ind w:left="2160" w:hanging="1800"/>
      </w:pPr>
    </w:lvl>
    <w:lvl w:ilvl="6">
      <w:start w:val="1"/>
      <w:numFmt w:val="decimal"/>
      <w:lvlText w:val="%1.%2.%3.%4.%5.%6.%7."/>
      <w:lvlJc w:val="left"/>
      <w:pPr>
        <w:ind w:left="2520" w:hanging="2160"/>
      </w:pPr>
    </w:lvl>
    <w:lvl w:ilvl="7">
      <w:start w:val="1"/>
      <w:numFmt w:val="decimal"/>
      <w:lvlText w:val="%1.%2.%3.%4.%5.%6.%7.%8."/>
      <w:lvlJc w:val="left"/>
      <w:pPr>
        <w:ind w:left="2880" w:hanging="2520"/>
      </w:pPr>
    </w:lvl>
    <w:lvl w:ilvl="8">
      <w:start w:val="1"/>
      <w:numFmt w:val="decimal"/>
      <w:lvlText w:val="%1.%2.%3.%4.%5.%6.%7.%8.%9."/>
      <w:lvlJc w:val="left"/>
      <w:pPr>
        <w:ind w:left="2880" w:hanging="2520"/>
      </w:pPr>
    </w:lvl>
  </w:abstractNum>
  <w:abstractNum w:abstractNumId="15" w15:restartNumberingAfterBreak="0">
    <w:nsid w:val="46945D50"/>
    <w:multiLevelType w:val="hybridMultilevel"/>
    <w:tmpl w:val="DB584008"/>
    <w:lvl w:ilvl="0" w:tplc="9A122BD4">
      <w:start w:val="1"/>
      <w:numFmt w:val="upp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6" w15:restartNumberingAfterBreak="0">
    <w:nsid w:val="4937775A"/>
    <w:multiLevelType w:val="multilevel"/>
    <w:tmpl w:val="2386150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9E81E80"/>
    <w:multiLevelType w:val="hybridMultilevel"/>
    <w:tmpl w:val="6250067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4AA5628C"/>
    <w:multiLevelType w:val="multilevel"/>
    <w:tmpl w:val="E18A0890"/>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9" w15:restartNumberingAfterBreak="0">
    <w:nsid w:val="4DC302BB"/>
    <w:multiLevelType w:val="multilevel"/>
    <w:tmpl w:val="C84E0F76"/>
    <w:lvl w:ilvl="0">
      <w:start w:val="1"/>
      <w:numFmt w:val="decimal"/>
      <w:lvlText w:val="%1."/>
      <w:lvlJc w:val="left"/>
      <w:pPr>
        <w:ind w:left="1080" w:hanging="720"/>
      </w:pPr>
    </w:lvl>
    <w:lvl w:ilvl="1">
      <w:start w:val="1"/>
      <w:numFmt w:val="decimal"/>
      <w:lvlText w:val="%1.%2."/>
      <w:lvlJc w:val="left"/>
      <w:pPr>
        <w:ind w:left="1080" w:hanging="720"/>
      </w:pPr>
    </w:lvl>
    <w:lvl w:ilvl="2">
      <w:start w:val="1"/>
      <w:numFmt w:val="decimal"/>
      <w:lvlText w:val="%1.%2.%3."/>
      <w:lvlJc w:val="left"/>
      <w:pPr>
        <w:ind w:left="1440" w:hanging="1080"/>
      </w:pPr>
    </w:lvl>
    <w:lvl w:ilvl="3">
      <w:start w:val="1"/>
      <w:numFmt w:val="decimal"/>
      <w:lvlText w:val="%1.%2.%3.%4."/>
      <w:lvlJc w:val="left"/>
      <w:pPr>
        <w:ind w:left="1800" w:hanging="1440"/>
      </w:pPr>
    </w:lvl>
    <w:lvl w:ilvl="4">
      <w:start w:val="1"/>
      <w:numFmt w:val="decimal"/>
      <w:lvlText w:val="%1.%2.%3.%4.%5."/>
      <w:lvlJc w:val="left"/>
      <w:pPr>
        <w:ind w:left="1800" w:hanging="1440"/>
      </w:pPr>
    </w:lvl>
    <w:lvl w:ilvl="5">
      <w:start w:val="1"/>
      <w:numFmt w:val="decimal"/>
      <w:lvlText w:val="%1.%2.%3.%4.%5.%6."/>
      <w:lvlJc w:val="left"/>
      <w:pPr>
        <w:ind w:left="2160" w:hanging="1800"/>
      </w:pPr>
    </w:lvl>
    <w:lvl w:ilvl="6">
      <w:start w:val="1"/>
      <w:numFmt w:val="decimal"/>
      <w:lvlText w:val="%1.%2.%3.%4.%5.%6.%7."/>
      <w:lvlJc w:val="left"/>
      <w:pPr>
        <w:ind w:left="2520" w:hanging="2160"/>
      </w:pPr>
    </w:lvl>
    <w:lvl w:ilvl="7">
      <w:start w:val="1"/>
      <w:numFmt w:val="decimal"/>
      <w:lvlText w:val="%1.%2.%3.%4.%5.%6.%7.%8."/>
      <w:lvlJc w:val="left"/>
      <w:pPr>
        <w:ind w:left="2880" w:hanging="2520"/>
      </w:pPr>
    </w:lvl>
    <w:lvl w:ilvl="8">
      <w:start w:val="1"/>
      <w:numFmt w:val="decimal"/>
      <w:lvlText w:val="%1.%2.%3.%4.%5.%6.%7.%8.%9."/>
      <w:lvlJc w:val="left"/>
      <w:pPr>
        <w:ind w:left="2880" w:hanging="2520"/>
      </w:pPr>
    </w:lvl>
  </w:abstractNum>
  <w:abstractNum w:abstractNumId="20" w15:restartNumberingAfterBreak="0">
    <w:nsid w:val="4E90253C"/>
    <w:multiLevelType w:val="hybridMultilevel"/>
    <w:tmpl w:val="54F4870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4EC94756"/>
    <w:multiLevelType w:val="multilevel"/>
    <w:tmpl w:val="EAF2C8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02D0E9A"/>
    <w:multiLevelType w:val="multilevel"/>
    <w:tmpl w:val="CDBC3830"/>
    <w:lvl w:ilvl="0">
      <w:start w:val="1"/>
      <w:numFmt w:val="decimal"/>
      <w:lvlText w:val="%1."/>
      <w:lvlJc w:val="left"/>
      <w:pPr>
        <w:ind w:left="36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
      <w:lvlJc w:val="left"/>
      <w:pPr>
        <w:ind w:left="0" w:firstLine="0"/>
      </w:pPr>
      <w:rPr>
        <w:vertAlign w:val="baseline"/>
      </w:rPr>
    </w:lvl>
  </w:abstractNum>
  <w:abstractNum w:abstractNumId="23" w15:restartNumberingAfterBreak="0">
    <w:nsid w:val="50EE12A3"/>
    <w:multiLevelType w:val="multilevel"/>
    <w:tmpl w:val="5B5428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51CD7CB6"/>
    <w:multiLevelType w:val="multilevel"/>
    <w:tmpl w:val="47D2AA6A"/>
    <w:lvl w:ilvl="0">
      <w:start w:val="1"/>
      <w:numFmt w:val="decimal"/>
      <w:lvlText w:val="%1."/>
      <w:lvlJc w:val="left"/>
      <w:pPr>
        <w:ind w:left="360" w:hanging="360"/>
      </w:pPr>
      <w:rPr>
        <w:rFonts w:ascii="Arial" w:eastAsia="Arial" w:hAnsi="Arial" w:cs="Arial"/>
        <w:color w:val="000000"/>
        <w:sz w:val="22"/>
        <w:szCs w:val="22"/>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
      <w:lvlJc w:val="left"/>
      <w:pPr>
        <w:ind w:left="0" w:firstLine="0"/>
      </w:pPr>
    </w:lvl>
  </w:abstractNum>
  <w:abstractNum w:abstractNumId="25" w15:restartNumberingAfterBreak="0">
    <w:nsid w:val="598A4E07"/>
    <w:multiLevelType w:val="multilevel"/>
    <w:tmpl w:val="C84E0F76"/>
    <w:lvl w:ilvl="0">
      <w:start w:val="1"/>
      <w:numFmt w:val="decimal"/>
      <w:lvlText w:val="%1."/>
      <w:lvlJc w:val="left"/>
      <w:pPr>
        <w:ind w:left="1080" w:hanging="720"/>
      </w:pPr>
    </w:lvl>
    <w:lvl w:ilvl="1">
      <w:start w:val="1"/>
      <w:numFmt w:val="decimal"/>
      <w:lvlText w:val="%1.%2."/>
      <w:lvlJc w:val="left"/>
      <w:pPr>
        <w:ind w:left="1080" w:hanging="720"/>
      </w:pPr>
    </w:lvl>
    <w:lvl w:ilvl="2">
      <w:start w:val="1"/>
      <w:numFmt w:val="decimal"/>
      <w:lvlText w:val="%1.%2.%3."/>
      <w:lvlJc w:val="left"/>
      <w:pPr>
        <w:ind w:left="1440" w:hanging="1080"/>
      </w:pPr>
    </w:lvl>
    <w:lvl w:ilvl="3">
      <w:start w:val="1"/>
      <w:numFmt w:val="decimal"/>
      <w:lvlText w:val="%1.%2.%3.%4."/>
      <w:lvlJc w:val="left"/>
      <w:pPr>
        <w:ind w:left="1800" w:hanging="1440"/>
      </w:pPr>
    </w:lvl>
    <w:lvl w:ilvl="4">
      <w:start w:val="1"/>
      <w:numFmt w:val="decimal"/>
      <w:lvlText w:val="%1.%2.%3.%4.%5."/>
      <w:lvlJc w:val="left"/>
      <w:pPr>
        <w:ind w:left="1800" w:hanging="1440"/>
      </w:pPr>
    </w:lvl>
    <w:lvl w:ilvl="5">
      <w:start w:val="1"/>
      <w:numFmt w:val="decimal"/>
      <w:lvlText w:val="%1.%2.%3.%4.%5.%6."/>
      <w:lvlJc w:val="left"/>
      <w:pPr>
        <w:ind w:left="2160" w:hanging="1800"/>
      </w:pPr>
    </w:lvl>
    <w:lvl w:ilvl="6">
      <w:start w:val="1"/>
      <w:numFmt w:val="decimal"/>
      <w:lvlText w:val="%1.%2.%3.%4.%5.%6.%7."/>
      <w:lvlJc w:val="left"/>
      <w:pPr>
        <w:ind w:left="2520" w:hanging="2160"/>
      </w:pPr>
    </w:lvl>
    <w:lvl w:ilvl="7">
      <w:start w:val="1"/>
      <w:numFmt w:val="decimal"/>
      <w:lvlText w:val="%1.%2.%3.%4.%5.%6.%7.%8."/>
      <w:lvlJc w:val="left"/>
      <w:pPr>
        <w:ind w:left="2880" w:hanging="2520"/>
      </w:pPr>
    </w:lvl>
    <w:lvl w:ilvl="8">
      <w:start w:val="1"/>
      <w:numFmt w:val="decimal"/>
      <w:lvlText w:val="%1.%2.%3.%4.%5.%6.%7.%8.%9."/>
      <w:lvlJc w:val="left"/>
      <w:pPr>
        <w:ind w:left="2880" w:hanging="2520"/>
      </w:pPr>
    </w:lvl>
  </w:abstractNum>
  <w:abstractNum w:abstractNumId="26" w15:restartNumberingAfterBreak="0">
    <w:nsid w:val="5A9B2990"/>
    <w:multiLevelType w:val="multilevel"/>
    <w:tmpl w:val="6C3482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5E286357"/>
    <w:multiLevelType w:val="multilevel"/>
    <w:tmpl w:val="79A63092"/>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28" w15:restartNumberingAfterBreak="0">
    <w:nsid w:val="73901E7A"/>
    <w:multiLevelType w:val="multilevel"/>
    <w:tmpl w:val="C0F6560C"/>
    <w:lvl w:ilvl="0">
      <w:start w:val="1"/>
      <w:numFmt w:val="decimal"/>
      <w:lvlText w:val="%1."/>
      <w:lvlJc w:val="left"/>
      <w:pPr>
        <w:ind w:left="36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
      <w:lvlJc w:val="left"/>
      <w:pPr>
        <w:ind w:left="0" w:firstLine="0"/>
      </w:pPr>
      <w:rPr>
        <w:vertAlign w:val="baseline"/>
      </w:rPr>
    </w:lvl>
  </w:abstractNum>
  <w:abstractNum w:abstractNumId="29" w15:restartNumberingAfterBreak="0">
    <w:nsid w:val="74AD5CD6"/>
    <w:multiLevelType w:val="multilevel"/>
    <w:tmpl w:val="6BD2DC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15:restartNumberingAfterBreak="0">
    <w:nsid w:val="774974BC"/>
    <w:multiLevelType w:val="multilevel"/>
    <w:tmpl w:val="C84E0F76"/>
    <w:lvl w:ilvl="0">
      <w:start w:val="1"/>
      <w:numFmt w:val="decimal"/>
      <w:lvlText w:val="%1."/>
      <w:lvlJc w:val="left"/>
      <w:pPr>
        <w:ind w:left="1080" w:hanging="720"/>
      </w:pPr>
    </w:lvl>
    <w:lvl w:ilvl="1">
      <w:start w:val="1"/>
      <w:numFmt w:val="decimal"/>
      <w:lvlText w:val="%1.%2."/>
      <w:lvlJc w:val="left"/>
      <w:pPr>
        <w:ind w:left="1080" w:hanging="720"/>
      </w:pPr>
    </w:lvl>
    <w:lvl w:ilvl="2">
      <w:start w:val="1"/>
      <w:numFmt w:val="decimal"/>
      <w:lvlText w:val="%1.%2.%3."/>
      <w:lvlJc w:val="left"/>
      <w:pPr>
        <w:ind w:left="1440" w:hanging="1080"/>
      </w:pPr>
    </w:lvl>
    <w:lvl w:ilvl="3">
      <w:start w:val="1"/>
      <w:numFmt w:val="decimal"/>
      <w:lvlText w:val="%1.%2.%3.%4."/>
      <w:lvlJc w:val="left"/>
      <w:pPr>
        <w:ind w:left="1800" w:hanging="1440"/>
      </w:pPr>
    </w:lvl>
    <w:lvl w:ilvl="4">
      <w:start w:val="1"/>
      <w:numFmt w:val="decimal"/>
      <w:lvlText w:val="%1.%2.%3.%4.%5."/>
      <w:lvlJc w:val="left"/>
      <w:pPr>
        <w:ind w:left="1800" w:hanging="1440"/>
      </w:pPr>
    </w:lvl>
    <w:lvl w:ilvl="5">
      <w:start w:val="1"/>
      <w:numFmt w:val="decimal"/>
      <w:lvlText w:val="%1.%2.%3.%4.%5.%6."/>
      <w:lvlJc w:val="left"/>
      <w:pPr>
        <w:ind w:left="2160" w:hanging="1800"/>
      </w:pPr>
    </w:lvl>
    <w:lvl w:ilvl="6">
      <w:start w:val="1"/>
      <w:numFmt w:val="decimal"/>
      <w:lvlText w:val="%1.%2.%3.%4.%5.%6.%7."/>
      <w:lvlJc w:val="left"/>
      <w:pPr>
        <w:ind w:left="2520" w:hanging="2160"/>
      </w:pPr>
    </w:lvl>
    <w:lvl w:ilvl="7">
      <w:start w:val="1"/>
      <w:numFmt w:val="decimal"/>
      <w:lvlText w:val="%1.%2.%3.%4.%5.%6.%7.%8."/>
      <w:lvlJc w:val="left"/>
      <w:pPr>
        <w:ind w:left="2880" w:hanging="2520"/>
      </w:pPr>
    </w:lvl>
    <w:lvl w:ilvl="8">
      <w:start w:val="1"/>
      <w:numFmt w:val="decimal"/>
      <w:lvlText w:val="%1.%2.%3.%4.%5.%6.%7.%8.%9."/>
      <w:lvlJc w:val="left"/>
      <w:pPr>
        <w:ind w:left="2880" w:hanging="2520"/>
      </w:pPr>
    </w:lvl>
  </w:abstractNum>
  <w:abstractNum w:abstractNumId="31" w15:restartNumberingAfterBreak="0">
    <w:nsid w:val="7D6C621F"/>
    <w:multiLevelType w:val="hybridMultilevel"/>
    <w:tmpl w:val="F3D255D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2" w15:restartNumberingAfterBreak="0">
    <w:nsid w:val="7F121C88"/>
    <w:multiLevelType w:val="multilevel"/>
    <w:tmpl w:val="68F279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8"/>
  </w:num>
  <w:num w:numId="2">
    <w:abstractNumId w:val="28"/>
  </w:num>
  <w:num w:numId="3">
    <w:abstractNumId w:val="19"/>
  </w:num>
  <w:num w:numId="4">
    <w:abstractNumId w:val="18"/>
  </w:num>
  <w:num w:numId="5">
    <w:abstractNumId w:val="32"/>
  </w:num>
  <w:num w:numId="6">
    <w:abstractNumId w:val="9"/>
  </w:num>
  <w:num w:numId="7">
    <w:abstractNumId w:val="16"/>
  </w:num>
  <w:num w:numId="8">
    <w:abstractNumId w:val="21"/>
  </w:num>
  <w:num w:numId="9">
    <w:abstractNumId w:val="24"/>
  </w:num>
  <w:num w:numId="10">
    <w:abstractNumId w:val="5"/>
  </w:num>
  <w:num w:numId="11">
    <w:abstractNumId w:val="4"/>
  </w:num>
  <w:num w:numId="12">
    <w:abstractNumId w:val="2"/>
  </w:num>
  <w:num w:numId="13">
    <w:abstractNumId w:val="6"/>
  </w:num>
  <w:num w:numId="14">
    <w:abstractNumId w:val="23"/>
  </w:num>
  <w:num w:numId="15">
    <w:abstractNumId w:val="22"/>
  </w:num>
  <w:num w:numId="16">
    <w:abstractNumId w:val="29"/>
  </w:num>
  <w:num w:numId="17">
    <w:abstractNumId w:val="1"/>
  </w:num>
  <w:num w:numId="18">
    <w:abstractNumId w:val="0"/>
  </w:num>
  <w:num w:numId="19">
    <w:abstractNumId w:val="27"/>
  </w:num>
  <w:num w:numId="20">
    <w:abstractNumId w:val="26"/>
  </w:num>
  <w:num w:numId="21">
    <w:abstractNumId w:val="12"/>
  </w:num>
  <w:num w:numId="22">
    <w:abstractNumId w:val="10"/>
  </w:num>
  <w:num w:numId="23">
    <w:abstractNumId w:val="25"/>
  </w:num>
  <w:num w:numId="24">
    <w:abstractNumId w:val="7"/>
  </w:num>
  <w:num w:numId="25">
    <w:abstractNumId w:val="14"/>
  </w:num>
  <w:num w:numId="26">
    <w:abstractNumId w:val="30"/>
  </w:num>
  <w:num w:numId="27">
    <w:abstractNumId w:val="15"/>
  </w:num>
  <w:num w:numId="28">
    <w:abstractNumId w:val="20"/>
  </w:num>
  <w:num w:numId="29">
    <w:abstractNumId w:val="17"/>
  </w:num>
  <w:num w:numId="30">
    <w:abstractNumId w:val="11"/>
  </w:num>
  <w:num w:numId="31">
    <w:abstractNumId w:val="13"/>
  </w:num>
  <w:num w:numId="32">
    <w:abstractNumId w:val="3"/>
  </w:num>
  <w:num w:numId="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5F1"/>
    <w:rsid w:val="000107B6"/>
    <w:rsid w:val="00010870"/>
    <w:rsid w:val="00024F80"/>
    <w:rsid w:val="00032938"/>
    <w:rsid w:val="0003469F"/>
    <w:rsid w:val="00040BA4"/>
    <w:rsid w:val="000424F7"/>
    <w:rsid w:val="00046522"/>
    <w:rsid w:val="00047B4E"/>
    <w:rsid w:val="00050E18"/>
    <w:rsid w:val="000558E6"/>
    <w:rsid w:val="000572CA"/>
    <w:rsid w:val="00062F6B"/>
    <w:rsid w:val="0006405A"/>
    <w:rsid w:val="000716D9"/>
    <w:rsid w:val="00072585"/>
    <w:rsid w:val="000738ED"/>
    <w:rsid w:val="000746B3"/>
    <w:rsid w:val="000906A7"/>
    <w:rsid w:val="00090A51"/>
    <w:rsid w:val="000A1019"/>
    <w:rsid w:val="000A6B1C"/>
    <w:rsid w:val="000A7F18"/>
    <w:rsid w:val="000C008F"/>
    <w:rsid w:val="000E767F"/>
    <w:rsid w:val="000F2A50"/>
    <w:rsid w:val="000F6F96"/>
    <w:rsid w:val="000F6FB8"/>
    <w:rsid w:val="00114F61"/>
    <w:rsid w:val="001166DF"/>
    <w:rsid w:val="00123ED2"/>
    <w:rsid w:val="00135A7E"/>
    <w:rsid w:val="00144F24"/>
    <w:rsid w:val="00145AB1"/>
    <w:rsid w:val="00147A9C"/>
    <w:rsid w:val="00152BDD"/>
    <w:rsid w:val="001710C6"/>
    <w:rsid w:val="00173ADE"/>
    <w:rsid w:val="00197C5E"/>
    <w:rsid w:val="001B19AC"/>
    <w:rsid w:val="001B567D"/>
    <w:rsid w:val="001C0537"/>
    <w:rsid w:val="001C06C8"/>
    <w:rsid w:val="001E3483"/>
    <w:rsid w:val="001F214F"/>
    <w:rsid w:val="001F4AB4"/>
    <w:rsid w:val="002022C0"/>
    <w:rsid w:val="00203464"/>
    <w:rsid w:val="00210BB9"/>
    <w:rsid w:val="00221E19"/>
    <w:rsid w:val="002238CA"/>
    <w:rsid w:val="00224E00"/>
    <w:rsid w:val="002355F1"/>
    <w:rsid w:val="00237BCE"/>
    <w:rsid w:val="00246A8E"/>
    <w:rsid w:val="002578BD"/>
    <w:rsid w:val="00261165"/>
    <w:rsid w:val="00264470"/>
    <w:rsid w:val="00264F97"/>
    <w:rsid w:val="00270477"/>
    <w:rsid w:val="002705FA"/>
    <w:rsid w:val="0029128D"/>
    <w:rsid w:val="002919CA"/>
    <w:rsid w:val="002A1266"/>
    <w:rsid w:val="002A1997"/>
    <w:rsid w:val="002A6557"/>
    <w:rsid w:val="002A75B5"/>
    <w:rsid w:val="002B39BA"/>
    <w:rsid w:val="002D222F"/>
    <w:rsid w:val="002E3634"/>
    <w:rsid w:val="002E7F2F"/>
    <w:rsid w:val="00322CE4"/>
    <w:rsid w:val="00324395"/>
    <w:rsid w:val="00341014"/>
    <w:rsid w:val="00343ACD"/>
    <w:rsid w:val="00363291"/>
    <w:rsid w:val="0036442E"/>
    <w:rsid w:val="0037494B"/>
    <w:rsid w:val="00382BCA"/>
    <w:rsid w:val="0039650C"/>
    <w:rsid w:val="003B705D"/>
    <w:rsid w:val="003E1A6C"/>
    <w:rsid w:val="0041085B"/>
    <w:rsid w:val="00435175"/>
    <w:rsid w:val="004418B3"/>
    <w:rsid w:val="00481796"/>
    <w:rsid w:val="004927C1"/>
    <w:rsid w:val="00496C5C"/>
    <w:rsid w:val="004A2FED"/>
    <w:rsid w:val="004A6C6E"/>
    <w:rsid w:val="004B1DC1"/>
    <w:rsid w:val="004D7807"/>
    <w:rsid w:val="00501A01"/>
    <w:rsid w:val="00505505"/>
    <w:rsid w:val="00512E63"/>
    <w:rsid w:val="0052146E"/>
    <w:rsid w:val="0052349E"/>
    <w:rsid w:val="005326B7"/>
    <w:rsid w:val="00536177"/>
    <w:rsid w:val="005420BD"/>
    <w:rsid w:val="00542E03"/>
    <w:rsid w:val="00545B6B"/>
    <w:rsid w:val="00545E89"/>
    <w:rsid w:val="005563E8"/>
    <w:rsid w:val="00561F1F"/>
    <w:rsid w:val="00562518"/>
    <w:rsid w:val="00564B09"/>
    <w:rsid w:val="005805DD"/>
    <w:rsid w:val="005817F6"/>
    <w:rsid w:val="005875EA"/>
    <w:rsid w:val="00596767"/>
    <w:rsid w:val="005A2FD3"/>
    <w:rsid w:val="005A478B"/>
    <w:rsid w:val="005A7511"/>
    <w:rsid w:val="005B3848"/>
    <w:rsid w:val="005C03FC"/>
    <w:rsid w:val="005C494F"/>
    <w:rsid w:val="005D636C"/>
    <w:rsid w:val="005F392F"/>
    <w:rsid w:val="00606B7C"/>
    <w:rsid w:val="00611BAB"/>
    <w:rsid w:val="0061475F"/>
    <w:rsid w:val="0062212D"/>
    <w:rsid w:val="00635CCA"/>
    <w:rsid w:val="0066148C"/>
    <w:rsid w:val="006673EA"/>
    <w:rsid w:val="0067199E"/>
    <w:rsid w:val="00671A9A"/>
    <w:rsid w:val="00673872"/>
    <w:rsid w:val="00691B57"/>
    <w:rsid w:val="006A0EE0"/>
    <w:rsid w:val="006A11BE"/>
    <w:rsid w:val="006A2676"/>
    <w:rsid w:val="006A2D0E"/>
    <w:rsid w:val="006B0215"/>
    <w:rsid w:val="006C64DB"/>
    <w:rsid w:val="006D0036"/>
    <w:rsid w:val="006D375A"/>
    <w:rsid w:val="006E2AB9"/>
    <w:rsid w:val="006F768E"/>
    <w:rsid w:val="00746D98"/>
    <w:rsid w:val="0076454D"/>
    <w:rsid w:val="007804DE"/>
    <w:rsid w:val="007A2753"/>
    <w:rsid w:val="007B1E44"/>
    <w:rsid w:val="007B507D"/>
    <w:rsid w:val="007D6159"/>
    <w:rsid w:val="008062D1"/>
    <w:rsid w:val="008115EB"/>
    <w:rsid w:val="00815AC9"/>
    <w:rsid w:val="00832A08"/>
    <w:rsid w:val="00834CAA"/>
    <w:rsid w:val="00845B92"/>
    <w:rsid w:val="0084699B"/>
    <w:rsid w:val="00865F07"/>
    <w:rsid w:val="00867B3F"/>
    <w:rsid w:val="00872443"/>
    <w:rsid w:val="00882133"/>
    <w:rsid w:val="0089191E"/>
    <w:rsid w:val="008965C6"/>
    <w:rsid w:val="008B096B"/>
    <w:rsid w:val="008F4C66"/>
    <w:rsid w:val="009055ED"/>
    <w:rsid w:val="009203FA"/>
    <w:rsid w:val="00924A8A"/>
    <w:rsid w:val="009337EE"/>
    <w:rsid w:val="0093393D"/>
    <w:rsid w:val="0094752E"/>
    <w:rsid w:val="00981A85"/>
    <w:rsid w:val="009B0E49"/>
    <w:rsid w:val="009B425A"/>
    <w:rsid w:val="009E57B3"/>
    <w:rsid w:val="009E79F9"/>
    <w:rsid w:val="00A00684"/>
    <w:rsid w:val="00A166C6"/>
    <w:rsid w:val="00A2688C"/>
    <w:rsid w:val="00A27E97"/>
    <w:rsid w:val="00A42DDA"/>
    <w:rsid w:val="00A60E08"/>
    <w:rsid w:val="00A60F31"/>
    <w:rsid w:val="00A82F6F"/>
    <w:rsid w:val="00A83E0D"/>
    <w:rsid w:val="00A847C8"/>
    <w:rsid w:val="00A86881"/>
    <w:rsid w:val="00A96217"/>
    <w:rsid w:val="00AC69E7"/>
    <w:rsid w:val="00AC785D"/>
    <w:rsid w:val="00AD5670"/>
    <w:rsid w:val="00AD70BA"/>
    <w:rsid w:val="00AF0AC7"/>
    <w:rsid w:val="00B00B7E"/>
    <w:rsid w:val="00B018AD"/>
    <w:rsid w:val="00B05E4F"/>
    <w:rsid w:val="00B15788"/>
    <w:rsid w:val="00B219CF"/>
    <w:rsid w:val="00B24726"/>
    <w:rsid w:val="00B43B8F"/>
    <w:rsid w:val="00B655CC"/>
    <w:rsid w:val="00B67B1B"/>
    <w:rsid w:val="00B76B00"/>
    <w:rsid w:val="00B84853"/>
    <w:rsid w:val="00B93DB8"/>
    <w:rsid w:val="00B93DE3"/>
    <w:rsid w:val="00BA480B"/>
    <w:rsid w:val="00BB2214"/>
    <w:rsid w:val="00BC48BE"/>
    <w:rsid w:val="00BD089A"/>
    <w:rsid w:val="00BD47E9"/>
    <w:rsid w:val="00BE0C67"/>
    <w:rsid w:val="00BE18FF"/>
    <w:rsid w:val="00BF7EB0"/>
    <w:rsid w:val="00C031C0"/>
    <w:rsid w:val="00C33FC8"/>
    <w:rsid w:val="00C47384"/>
    <w:rsid w:val="00C47E3E"/>
    <w:rsid w:val="00C511A8"/>
    <w:rsid w:val="00C55475"/>
    <w:rsid w:val="00C60893"/>
    <w:rsid w:val="00C76D90"/>
    <w:rsid w:val="00C8383A"/>
    <w:rsid w:val="00C97CC5"/>
    <w:rsid w:val="00CC37BB"/>
    <w:rsid w:val="00D00814"/>
    <w:rsid w:val="00D12AF7"/>
    <w:rsid w:val="00D13320"/>
    <w:rsid w:val="00D2235D"/>
    <w:rsid w:val="00D35FDF"/>
    <w:rsid w:val="00D438A7"/>
    <w:rsid w:val="00D51A5A"/>
    <w:rsid w:val="00D52CBD"/>
    <w:rsid w:val="00D539AD"/>
    <w:rsid w:val="00D558FE"/>
    <w:rsid w:val="00D645FE"/>
    <w:rsid w:val="00D658B6"/>
    <w:rsid w:val="00D758F4"/>
    <w:rsid w:val="00D90223"/>
    <w:rsid w:val="00D936C4"/>
    <w:rsid w:val="00D9519E"/>
    <w:rsid w:val="00D95C8C"/>
    <w:rsid w:val="00D9786F"/>
    <w:rsid w:val="00DB1670"/>
    <w:rsid w:val="00DB1D43"/>
    <w:rsid w:val="00DB5D5D"/>
    <w:rsid w:val="00DC00B6"/>
    <w:rsid w:val="00DC0828"/>
    <w:rsid w:val="00DD2137"/>
    <w:rsid w:val="00DF38FA"/>
    <w:rsid w:val="00E07E1B"/>
    <w:rsid w:val="00E11D67"/>
    <w:rsid w:val="00E17746"/>
    <w:rsid w:val="00E53C56"/>
    <w:rsid w:val="00E56602"/>
    <w:rsid w:val="00E57E5D"/>
    <w:rsid w:val="00E65F55"/>
    <w:rsid w:val="00E769D0"/>
    <w:rsid w:val="00E816EC"/>
    <w:rsid w:val="00E85057"/>
    <w:rsid w:val="00E962FB"/>
    <w:rsid w:val="00EA439B"/>
    <w:rsid w:val="00EA52F5"/>
    <w:rsid w:val="00EB277E"/>
    <w:rsid w:val="00EB7A07"/>
    <w:rsid w:val="00ED5781"/>
    <w:rsid w:val="00EE68FD"/>
    <w:rsid w:val="00EF0CA8"/>
    <w:rsid w:val="00F13109"/>
    <w:rsid w:val="00F15EF4"/>
    <w:rsid w:val="00F20A27"/>
    <w:rsid w:val="00F21701"/>
    <w:rsid w:val="00F25376"/>
    <w:rsid w:val="00F307E3"/>
    <w:rsid w:val="00F31806"/>
    <w:rsid w:val="00F65CEB"/>
    <w:rsid w:val="00F713A3"/>
    <w:rsid w:val="00F944D9"/>
    <w:rsid w:val="00FB0F2E"/>
    <w:rsid w:val="00FB4C10"/>
    <w:rsid w:val="00FC4162"/>
    <w:rsid w:val="00FD5905"/>
    <w:rsid w:val="00FD6864"/>
    <w:rsid w:val="00FF7DC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5FFEB"/>
  <w15:docId w15:val="{B63E67A7-BCFC-E947-BEEA-1B5403638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s-PE" w:eastAsia="es-ES_tradn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1EF6"/>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pPr>
      <w:keepNext/>
      <w:keepLines/>
      <w:spacing w:before="360" w:after="80"/>
      <w:outlineLvl w:val="1"/>
    </w:pPr>
    <w:rPr>
      <w:b/>
      <w:sz w:val="36"/>
      <w:szCs w:val="36"/>
    </w:rPr>
  </w:style>
  <w:style w:type="paragraph" w:styleId="Ttulo3">
    <w:name w:val="heading 3"/>
    <w:basedOn w:val="Normal"/>
    <w:next w:val="Normal"/>
    <w:uiPriority w:val="9"/>
    <w:unhideWhenUsed/>
    <w:qFormat/>
    <w:pPr>
      <w:keepNext/>
      <w:keepLines/>
      <w:spacing w:before="280" w:after="80"/>
      <w:outlineLvl w:val="2"/>
    </w:pPr>
    <w:rPr>
      <w:b/>
      <w:sz w:val="28"/>
      <w:szCs w:val="28"/>
    </w:rPr>
  </w:style>
  <w:style w:type="paragraph" w:styleId="Ttulo4">
    <w:name w:val="heading 4"/>
    <w:basedOn w:val="Normal"/>
    <w:next w:val="Normal"/>
    <w:uiPriority w:val="9"/>
    <w:unhideWhenUsed/>
    <w:qFormat/>
    <w:pPr>
      <w:keepNext/>
      <w:keepLines/>
      <w:spacing w:before="240" w:after="40"/>
      <w:outlineLvl w:val="3"/>
    </w:pPr>
    <w:rPr>
      <w:b/>
    </w:rPr>
  </w:style>
  <w:style w:type="paragraph" w:styleId="Ttulo5">
    <w:name w:val="heading 5"/>
    <w:basedOn w:val="Normal"/>
    <w:next w:val="Normal"/>
    <w:uiPriority w:val="9"/>
    <w:unhideWhenUsed/>
    <w:qFormat/>
    <w:pPr>
      <w:keepNext/>
      <w:keepLines/>
      <w:spacing w:before="220" w:after="40"/>
      <w:outlineLvl w:val="4"/>
    </w:pPr>
    <w:rPr>
      <w:b/>
      <w:sz w:val="22"/>
      <w:szCs w:val="22"/>
    </w:rPr>
  </w:style>
  <w:style w:type="paragraph" w:styleId="Ttulo6">
    <w:name w:val="heading 6"/>
    <w:basedOn w:val="Normal"/>
    <w:next w:val="Normal"/>
    <w:uiPriority w:val="9"/>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4C7057"/>
    <w:pPr>
      <w:tabs>
        <w:tab w:val="center" w:pos="4419"/>
        <w:tab w:val="right" w:pos="8838"/>
      </w:tabs>
    </w:pPr>
  </w:style>
  <w:style w:type="character" w:customStyle="1" w:styleId="EncabezadoCar">
    <w:name w:val="Encabezado Car"/>
    <w:basedOn w:val="Fuentedeprrafopredeter"/>
    <w:link w:val="Encabezado"/>
    <w:uiPriority w:val="99"/>
    <w:rsid w:val="004C7057"/>
  </w:style>
  <w:style w:type="paragraph" w:styleId="Piedepgina">
    <w:name w:val="footer"/>
    <w:basedOn w:val="Normal"/>
    <w:link w:val="PiedepginaCar"/>
    <w:uiPriority w:val="99"/>
    <w:unhideWhenUsed/>
    <w:rsid w:val="004C7057"/>
    <w:pPr>
      <w:tabs>
        <w:tab w:val="center" w:pos="4419"/>
        <w:tab w:val="right" w:pos="8838"/>
      </w:tabs>
    </w:pPr>
  </w:style>
  <w:style w:type="character" w:customStyle="1" w:styleId="PiedepginaCar">
    <w:name w:val="Pie de página Car"/>
    <w:basedOn w:val="Fuentedeprrafopredeter"/>
    <w:link w:val="Piedepgina"/>
    <w:uiPriority w:val="99"/>
    <w:rsid w:val="004C7057"/>
  </w:style>
  <w:style w:type="character" w:styleId="Nmerodepgina">
    <w:name w:val="page number"/>
    <w:basedOn w:val="Fuentedeprrafopredeter"/>
    <w:uiPriority w:val="99"/>
    <w:semiHidden/>
    <w:unhideWhenUsed/>
    <w:rsid w:val="004C7057"/>
  </w:style>
  <w:style w:type="character" w:styleId="Textodelmarcadordeposicin">
    <w:name w:val="Placeholder Text"/>
    <w:basedOn w:val="Fuentedeprrafopredeter"/>
    <w:uiPriority w:val="99"/>
    <w:semiHidden/>
    <w:rsid w:val="008C1220"/>
    <w:rPr>
      <w:color w:val="808080"/>
    </w:rPr>
  </w:style>
  <w:style w:type="paragraph" w:styleId="TtuloTDC">
    <w:name w:val="TOC Heading"/>
    <w:basedOn w:val="Ttulo1"/>
    <w:next w:val="Normal"/>
    <w:uiPriority w:val="39"/>
    <w:unhideWhenUsed/>
    <w:qFormat/>
    <w:rsid w:val="008C1220"/>
    <w:pPr>
      <w:spacing w:after="0"/>
      <w:outlineLvl w:val="9"/>
    </w:pPr>
    <w:rPr>
      <w:rFonts w:asciiTheme="majorHAnsi" w:eastAsiaTheme="majorEastAsia" w:hAnsiTheme="majorHAnsi" w:cstheme="majorBidi"/>
      <w:bCs/>
      <w:color w:val="365F91" w:themeColor="accent1" w:themeShade="BF"/>
      <w:sz w:val="28"/>
      <w:szCs w:val="28"/>
    </w:rPr>
  </w:style>
  <w:style w:type="paragraph" w:styleId="TDC1">
    <w:name w:val="toc 1"/>
    <w:basedOn w:val="Normal"/>
    <w:next w:val="Normal"/>
    <w:autoRedefine/>
    <w:uiPriority w:val="39"/>
    <w:unhideWhenUsed/>
    <w:rsid w:val="00D936C4"/>
    <w:pPr>
      <w:tabs>
        <w:tab w:val="left" w:pos="480"/>
        <w:tab w:val="right" w:leader="dot" w:pos="8828"/>
      </w:tabs>
      <w:spacing w:before="120" w:after="120" w:line="360" w:lineRule="auto"/>
    </w:pPr>
    <w:rPr>
      <w:rFonts w:asciiTheme="minorHAnsi" w:hAnsiTheme="minorHAnsi"/>
      <w:b/>
      <w:bCs/>
      <w:caps/>
      <w:sz w:val="20"/>
      <w:szCs w:val="20"/>
    </w:rPr>
  </w:style>
  <w:style w:type="paragraph" w:styleId="TDC2">
    <w:name w:val="toc 2"/>
    <w:basedOn w:val="Normal"/>
    <w:next w:val="Normal"/>
    <w:autoRedefine/>
    <w:uiPriority w:val="39"/>
    <w:unhideWhenUsed/>
    <w:rsid w:val="00935415"/>
    <w:pPr>
      <w:ind w:left="240"/>
    </w:pPr>
    <w:rPr>
      <w:rFonts w:asciiTheme="minorHAnsi" w:hAnsiTheme="minorHAnsi"/>
      <w:smallCaps/>
      <w:sz w:val="20"/>
      <w:szCs w:val="20"/>
    </w:rPr>
  </w:style>
  <w:style w:type="paragraph" w:styleId="TDC3">
    <w:name w:val="toc 3"/>
    <w:basedOn w:val="Normal"/>
    <w:next w:val="Normal"/>
    <w:autoRedefine/>
    <w:uiPriority w:val="39"/>
    <w:unhideWhenUsed/>
    <w:rsid w:val="008C1220"/>
    <w:pPr>
      <w:ind w:left="480"/>
    </w:pPr>
    <w:rPr>
      <w:rFonts w:asciiTheme="minorHAnsi" w:hAnsiTheme="minorHAnsi"/>
      <w:i/>
      <w:iCs/>
      <w:sz w:val="20"/>
      <w:szCs w:val="20"/>
    </w:rPr>
  </w:style>
  <w:style w:type="paragraph" w:styleId="TDC4">
    <w:name w:val="toc 4"/>
    <w:basedOn w:val="Normal"/>
    <w:next w:val="Normal"/>
    <w:autoRedefine/>
    <w:uiPriority w:val="39"/>
    <w:unhideWhenUsed/>
    <w:rsid w:val="008C1220"/>
    <w:pPr>
      <w:ind w:left="720"/>
    </w:pPr>
    <w:rPr>
      <w:rFonts w:asciiTheme="minorHAnsi" w:hAnsiTheme="minorHAnsi"/>
      <w:sz w:val="18"/>
      <w:szCs w:val="18"/>
    </w:rPr>
  </w:style>
  <w:style w:type="paragraph" w:styleId="TDC5">
    <w:name w:val="toc 5"/>
    <w:basedOn w:val="Normal"/>
    <w:next w:val="Normal"/>
    <w:autoRedefine/>
    <w:uiPriority w:val="39"/>
    <w:unhideWhenUsed/>
    <w:rsid w:val="008C1220"/>
    <w:pPr>
      <w:ind w:left="960"/>
    </w:pPr>
    <w:rPr>
      <w:rFonts w:asciiTheme="minorHAnsi" w:hAnsiTheme="minorHAnsi"/>
      <w:sz w:val="18"/>
      <w:szCs w:val="18"/>
    </w:rPr>
  </w:style>
  <w:style w:type="paragraph" w:styleId="TDC6">
    <w:name w:val="toc 6"/>
    <w:basedOn w:val="Normal"/>
    <w:next w:val="Normal"/>
    <w:autoRedefine/>
    <w:uiPriority w:val="39"/>
    <w:unhideWhenUsed/>
    <w:rsid w:val="008C1220"/>
    <w:pPr>
      <w:ind w:left="1200"/>
    </w:pPr>
    <w:rPr>
      <w:rFonts w:asciiTheme="minorHAnsi" w:hAnsiTheme="minorHAnsi"/>
      <w:sz w:val="18"/>
      <w:szCs w:val="18"/>
    </w:rPr>
  </w:style>
  <w:style w:type="paragraph" w:styleId="TDC7">
    <w:name w:val="toc 7"/>
    <w:basedOn w:val="Normal"/>
    <w:next w:val="Normal"/>
    <w:autoRedefine/>
    <w:uiPriority w:val="39"/>
    <w:unhideWhenUsed/>
    <w:rsid w:val="008C1220"/>
    <w:pPr>
      <w:ind w:left="1440"/>
    </w:pPr>
    <w:rPr>
      <w:rFonts w:asciiTheme="minorHAnsi" w:hAnsiTheme="minorHAnsi"/>
      <w:sz w:val="18"/>
      <w:szCs w:val="18"/>
    </w:rPr>
  </w:style>
  <w:style w:type="paragraph" w:styleId="TDC8">
    <w:name w:val="toc 8"/>
    <w:basedOn w:val="Normal"/>
    <w:next w:val="Normal"/>
    <w:autoRedefine/>
    <w:uiPriority w:val="39"/>
    <w:unhideWhenUsed/>
    <w:rsid w:val="008C1220"/>
    <w:pPr>
      <w:ind w:left="1680"/>
    </w:pPr>
    <w:rPr>
      <w:rFonts w:asciiTheme="minorHAnsi" w:hAnsiTheme="minorHAnsi"/>
      <w:sz w:val="18"/>
      <w:szCs w:val="18"/>
    </w:rPr>
  </w:style>
  <w:style w:type="paragraph" w:styleId="TDC9">
    <w:name w:val="toc 9"/>
    <w:basedOn w:val="Normal"/>
    <w:next w:val="Normal"/>
    <w:autoRedefine/>
    <w:uiPriority w:val="39"/>
    <w:unhideWhenUsed/>
    <w:rsid w:val="008C1220"/>
    <w:pPr>
      <w:ind w:left="1920"/>
    </w:pPr>
    <w:rPr>
      <w:rFonts w:asciiTheme="minorHAnsi" w:hAnsiTheme="minorHAnsi"/>
      <w:sz w:val="18"/>
      <w:szCs w:val="18"/>
    </w:rPr>
  </w:style>
  <w:style w:type="character" w:styleId="Hipervnculo">
    <w:name w:val="Hyperlink"/>
    <w:basedOn w:val="Fuentedeprrafopredeter"/>
    <w:uiPriority w:val="99"/>
    <w:unhideWhenUsed/>
    <w:rsid w:val="008C1220"/>
    <w:rPr>
      <w:color w:val="0000FF" w:themeColor="hyperlink"/>
      <w:u w:val="single"/>
    </w:rPr>
  </w:style>
  <w:style w:type="paragraph" w:styleId="Prrafodelista">
    <w:name w:val="List Paragraph"/>
    <w:basedOn w:val="Normal"/>
    <w:uiPriority w:val="34"/>
    <w:qFormat/>
    <w:rsid w:val="005C17E1"/>
    <w:pPr>
      <w:ind w:left="720"/>
      <w:contextualSpacing/>
    </w:pPr>
  </w:style>
  <w:style w:type="character" w:styleId="Mencinsinresolver">
    <w:name w:val="Unresolved Mention"/>
    <w:basedOn w:val="Fuentedeprrafopredeter"/>
    <w:uiPriority w:val="99"/>
    <w:semiHidden/>
    <w:unhideWhenUsed/>
    <w:rsid w:val="0070231E"/>
    <w:rPr>
      <w:color w:val="605E5C"/>
      <w:shd w:val="clear" w:color="auto" w:fill="E1DFDD"/>
    </w:rPr>
  </w:style>
  <w:style w:type="character" w:styleId="Hipervnculovisitado">
    <w:name w:val="FollowedHyperlink"/>
    <w:basedOn w:val="Fuentedeprrafopredeter"/>
    <w:uiPriority w:val="99"/>
    <w:semiHidden/>
    <w:unhideWhenUsed/>
    <w:rsid w:val="0070231E"/>
    <w:rPr>
      <w:color w:val="800080" w:themeColor="followedHyperlink"/>
      <w:u w:val="single"/>
    </w:rPr>
  </w:style>
  <w:style w:type="character" w:customStyle="1" w:styleId="Ttulo2Car">
    <w:name w:val="Título 2 Car"/>
    <w:basedOn w:val="Fuentedeprrafopredeter"/>
    <w:link w:val="Ttulo2"/>
    <w:uiPriority w:val="9"/>
    <w:rsid w:val="00DE1EF6"/>
    <w:rPr>
      <w:b/>
      <w:sz w:val="36"/>
      <w:szCs w:val="36"/>
    </w:rPr>
  </w:style>
  <w:style w:type="character" w:customStyle="1" w:styleId="titulo">
    <w:name w:val="titulo"/>
    <w:basedOn w:val="Fuentedeprrafopredeter"/>
    <w:rsid w:val="00DE1EF6"/>
  </w:style>
  <w:style w:type="character" w:styleId="Textoennegrita">
    <w:name w:val="Strong"/>
    <w:basedOn w:val="Fuentedeprrafopredeter"/>
    <w:uiPriority w:val="22"/>
    <w:qFormat/>
    <w:rsid w:val="00DE1EF6"/>
    <w:rPr>
      <w:b/>
      <w:bCs/>
    </w:rPr>
  </w:style>
  <w:style w:type="character" w:customStyle="1" w:styleId="apple-converted-space">
    <w:name w:val="apple-converted-space"/>
    <w:basedOn w:val="Fuentedeprrafopredeter"/>
    <w:rsid w:val="00DE1EF6"/>
  </w:style>
  <w:style w:type="character" w:styleId="AcrnimoHTML">
    <w:name w:val="HTML Acronym"/>
    <w:basedOn w:val="Fuentedeprrafopredeter"/>
    <w:uiPriority w:val="99"/>
    <w:semiHidden/>
    <w:unhideWhenUsed/>
    <w:rsid w:val="00DE1EF6"/>
  </w:style>
  <w:style w:type="paragraph" w:styleId="NormalWeb">
    <w:name w:val="Normal (Web)"/>
    <w:basedOn w:val="Normal"/>
    <w:uiPriority w:val="99"/>
    <w:unhideWhenUsed/>
    <w:rsid w:val="003F740F"/>
    <w:pPr>
      <w:spacing w:before="100" w:beforeAutospacing="1" w:after="100" w:afterAutospacing="1"/>
    </w:pPr>
  </w:style>
  <w:style w:type="character" w:styleId="nfasis">
    <w:name w:val="Emphasis"/>
    <w:basedOn w:val="Fuentedeprrafopredeter"/>
    <w:uiPriority w:val="20"/>
    <w:qFormat/>
    <w:rsid w:val="00810B07"/>
    <w:rPr>
      <w:i/>
      <w:iCs/>
    </w:rPr>
  </w:style>
  <w:style w:type="table" w:customStyle="1" w:styleId="a0">
    <w:basedOn w:val="TableNormal0"/>
    <w:tblPr>
      <w:tblStyleRowBandSize w:val="1"/>
      <w:tblStyleColBandSize w:val="1"/>
      <w:tblCellMar>
        <w:top w:w="100" w:type="dxa"/>
        <w:left w:w="100" w:type="dxa"/>
        <w:bottom w:w="100" w:type="dxa"/>
        <w:right w:w="100" w:type="dxa"/>
      </w:tblCellMar>
    </w:tblPr>
  </w:style>
  <w:style w:type="paragraph" w:styleId="Textocomentario">
    <w:name w:val="annotation text"/>
    <w:basedOn w:val="Normal"/>
    <w:link w:val="TextocomentarioCar"/>
    <w:uiPriority w:val="99"/>
    <w:semiHidden/>
    <w:unhideWhenUsed/>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Textodeglobo">
    <w:name w:val="Balloon Text"/>
    <w:basedOn w:val="Normal"/>
    <w:link w:val="TextodegloboCar"/>
    <w:uiPriority w:val="99"/>
    <w:semiHidden/>
    <w:unhideWhenUsed/>
    <w:rsid w:val="005A478B"/>
    <w:rPr>
      <w:sz w:val="18"/>
      <w:szCs w:val="18"/>
    </w:rPr>
  </w:style>
  <w:style w:type="character" w:customStyle="1" w:styleId="TextodegloboCar">
    <w:name w:val="Texto de globo Car"/>
    <w:basedOn w:val="Fuentedeprrafopredeter"/>
    <w:link w:val="Textodeglobo"/>
    <w:uiPriority w:val="99"/>
    <w:semiHidden/>
    <w:rsid w:val="005A478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29775">
      <w:bodyDiv w:val="1"/>
      <w:marLeft w:val="0"/>
      <w:marRight w:val="0"/>
      <w:marTop w:val="0"/>
      <w:marBottom w:val="0"/>
      <w:divBdr>
        <w:top w:val="none" w:sz="0" w:space="0" w:color="auto"/>
        <w:left w:val="none" w:sz="0" w:space="0" w:color="auto"/>
        <w:bottom w:val="none" w:sz="0" w:space="0" w:color="auto"/>
        <w:right w:val="none" w:sz="0" w:space="0" w:color="auto"/>
      </w:divBdr>
    </w:div>
    <w:div w:id="68502260">
      <w:bodyDiv w:val="1"/>
      <w:marLeft w:val="0"/>
      <w:marRight w:val="0"/>
      <w:marTop w:val="0"/>
      <w:marBottom w:val="0"/>
      <w:divBdr>
        <w:top w:val="none" w:sz="0" w:space="0" w:color="auto"/>
        <w:left w:val="none" w:sz="0" w:space="0" w:color="auto"/>
        <w:bottom w:val="none" w:sz="0" w:space="0" w:color="auto"/>
        <w:right w:val="none" w:sz="0" w:space="0" w:color="auto"/>
      </w:divBdr>
    </w:div>
    <w:div w:id="84114830">
      <w:bodyDiv w:val="1"/>
      <w:marLeft w:val="0"/>
      <w:marRight w:val="0"/>
      <w:marTop w:val="0"/>
      <w:marBottom w:val="0"/>
      <w:divBdr>
        <w:top w:val="none" w:sz="0" w:space="0" w:color="auto"/>
        <w:left w:val="none" w:sz="0" w:space="0" w:color="auto"/>
        <w:bottom w:val="none" w:sz="0" w:space="0" w:color="auto"/>
        <w:right w:val="none" w:sz="0" w:space="0" w:color="auto"/>
      </w:divBdr>
      <w:divsChild>
        <w:div w:id="1622607025">
          <w:marLeft w:val="0"/>
          <w:marRight w:val="0"/>
          <w:marTop w:val="0"/>
          <w:marBottom w:val="0"/>
          <w:divBdr>
            <w:top w:val="none" w:sz="0" w:space="0" w:color="auto"/>
            <w:left w:val="none" w:sz="0" w:space="0" w:color="auto"/>
            <w:bottom w:val="none" w:sz="0" w:space="0" w:color="auto"/>
            <w:right w:val="none" w:sz="0" w:space="0" w:color="auto"/>
          </w:divBdr>
          <w:divsChild>
            <w:div w:id="1504469879">
              <w:marLeft w:val="0"/>
              <w:marRight w:val="0"/>
              <w:marTop w:val="0"/>
              <w:marBottom w:val="0"/>
              <w:divBdr>
                <w:top w:val="none" w:sz="0" w:space="0" w:color="auto"/>
                <w:left w:val="none" w:sz="0" w:space="0" w:color="auto"/>
                <w:bottom w:val="none" w:sz="0" w:space="0" w:color="auto"/>
                <w:right w:val="none" w:sz="0" w:space="0" w:color="auto"/>
              </w:divBdr>
              <w:divsChild>
                <w:div w:id="1151940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89306">
      <w:bodyDiv w:val="1"/>
      <w:marLeft w:val="0"/>
      <w:marRight w:val="0"/>
      <w:marTop w:val="0"/>
      <w:marBottom w:val="0"/>
      <w:divBdr>
        <w:top w:val="none" w:sz="0" w:space="0" w:color="auto"/>
        <w:left w:val="none" w:sz="0" w:space="0" w:color="auto"/>
        <w:bottom w:val="none" w:sz="0" w:space="0" w:color="auto"/>
        <w:right w:val="none" w:sz="0" w:space="0" w:color="auto"/>
      </w:divBdr>
    </w:div>
    <w:div w:id="288051757">
      <w:bodyDiv w:val="1"/>
      <w:marLeft w:val="0"/>
      <w:marRight w:val="0"/>
      <w:marTop w:val="0"/>
      <w:marBottom w:val="0"/>
      <w:divBdr>
        <w:top w:val="none" w:sz="0" w:space="0" w:color="auto"/>
        <w:left w:val="none" w:sz="0" w:space="0" w:color="auto"/>
        <w:bottom w:val="none" w:sz="0" w:space="0" w:color="auto"/>
        <w:right w:val="none" w:sz="0" w:space="0" w:color="auto"/>
      </w:divBdr>
      <w:divsChild>
        <w:div w:id="1570531966">
          <w:marLeft w:val="0"/>
          <w:marRight w:val="0"/>
          <w:marTop w:val="0"/>
          <w:marBottom w:val="0"/>
          <w:divBdr>
            <w:top w:val="none" w:sz="0" w:space="0" w:color="auto"/>
            <w:left w:val="none" w:sz="0" w:space="0" w:color="auto"/>
            <w:bottom w:val="none" w:sz="0" w:space="0" w:color="auto"/>
            <w:right w:val="none" w:sz="0" w:space="0" w:color="auto"/>
          </w:divBdr>
          <w:divsChild>
            <w:div w:id="232276952">
              <w:marLeft w:val="0"/>
              <w:marRight w:val="0"/>
              <w:marTop w:val="0"/>
              <w:marBottom w:val="0"/>
              <w:divBdr>
                <w:top w:val="none" w:sz="0" w:space="0" w:color="auto"/>
                <w:left w:val="none" w:sz="0" w:space="0" w:color="auto"/>
                <w:bottom w:val="none" w:sz="0" w:space="0" w:color="auto"/>
                <w:right w:val="none" w:sz="0" w:space="0" w:color="auto"/>
              </w:divBdr>
              <w:divsChild>
                <w:div w:id="39551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790574">
      <w:bodyDiv w:val="1"/>
      <w:marLeft w:val="0"/>
      <w:marRight w:val="0"/>
      <w:marTop w:val="0"/>
      <w:marBottom w:val="0"/>
      <w:divBdr>
        <w:top w:val="none" w:sz="0" w:space="0" w:color="auto"/>
        <w:left w:val="none" w:sz="0" w:space="0" w:color="auto"/>
        <w:bottom w:val="none" w:sz="0" w:space="0" w:color="auto"/>
        <w:right w:val="none" w:sz="0" w:space="0" w:color="auto"/>
      </w:divBdr>
      <w:divsChild>
        <w:div w:id="1976255163">
          <w:marLeft w:val="0"/>
          <w:marRight w:val="0"/>
          <w:marTop w:val="0"/>
          <w:marBottom w:val="0"/>
          <w:divBdr>
            <w:top w:val="none" w:sz="0" w:space="0" w:color="auto"/>
            <w:left w:val="none" w:sz="0" w:space="0" w:color="auto"/>
            <w:bottom w:val="none" w:sz="0" w:space="0" w:color="auto"/>
            <w:right w:val="none" w:sz="0" w:space="0" w:color="auto"/>
          </w:divBdr>
        </w:div>
        <w:div w:id="358900843">
          <w:marLeft w:val="0"/>
          <w:marRight w:val="0"/>
          <w:marTop w:val="0"/>
          <w:marBottom w:val="0"/>
          <w:divBdr>
            <w:top w:val="none" w:sz="0" w:space="0" w:color="auto"/>
            <w:left w:val="none" w:sz="0" w:space="0" w:color="auto"/>
            <w:bottom w:val="none" w:sz="0" w:space="0" w:color="auto"/>
            <w:right w:val="none" w:sz="0" w:space="0" w:color="auto"/>
          </w:divBdr>
        </w:div>
        <w:div w:id="351493846">
          <w:marLeft w:val="0"/>
          <w:marRight w:val="0"/>
          <w:marTop w:val="0"/>
          <w:marBottom w:val="0"/>
          <w:divBdr>
            <w:top w:val="none" w:sz="0" w:space="0" w:color="auto"/>
            <w:left w:val="none" w:sz="0" w:space="0" w:color="auto"/>
            <w:bottom w:val="none" w:sz="0" w:space="0" w:color="auto"/>
            <w:right w:val="none" w:sz="0" w:space="0" w:color="auto"/>
          </w:divBdr>
        </w:div>
        <w:div w:id="1404449533">
          <w:marLeft w:val="0"/>
          <w:marRight w:val="0"/>
          <w:marTop w:val="0"/>
          <w:marBottom w:val="0"/>
          <w:divBdr>
            <w:top w:val="none" w:sz="0" w:space="0" w:color="auto"/>
            <w:left w:val="none" w:sz="0" w:space="0" w:color="auto"/>
            <w:bottom w:val="none" w:sz="0" w:space="0" w:color="auto"/>
            <w:right w:val="none" w:sz="0" w:space="0" w:color="auto"/>
          </w:divBdr>
        </w:div>
        <w:div w:id="837693193">
          <w:marLeft w:val="0"/>
          <w:marRight w:val="0"/>
          <w:marTop w:val="0"/>
          <w:marBottom w:val="0"/>
          <w:divBdr>
            <w:top w:val="none" w:sz="0" w:space="0" w:color="auto"/>
            <w:left w:val="none" w:sz="0" w:space="0" w:color="auto"/>
            <w:bottom w:val="none" w:sz="0" w:space="0" w:color="auto"/>
            <w:right w:val="none" w:sz="0" w:space="0" w:color="auto"/>
          </w:divBdr>
        </w:div>
      </w:divsChild>
    </w:div>
    <w:div w:id="532771356">
      <w:bodyDiv w:val="1"/>
      <w:marLeft w:val="0"/>
      <w:marRight w:val="0"/>
      <w:marTop w:val="0"/>
      <w:marBottom w:val="0"/>
      <w:divBdr>
        <w:top w:val="none" w:sz="0" w:space="0" w:color="auto"/>
        <w:left w:val="none" w:sz="0" w:space="0" w:color="auto"/>
        <w:bottom w:val="none" w:sz="0" w:space="0" w:color="auto"/>
        <w:right w:val="none" w:sz="0" w:space="0" w:color="auto"/>
      </w:divBdr>
    </w:div>
    <w:div w:id="599218894">
      <w:bodyDiv w:val="1"/>
      <w:marLeft w:val="0"/>
      <w:marRight w:val="0"/>
      <w:marTop w:val="0"/>
      <w:marBottom w:val="0"/>
      <w:divBdr>
        <w:top w:val="none" w:sz="0" w:space="0" w:color="auto"/>
        <w:left w:val="none" w:sz="0" w:space="0" w:color="auto"/>
        <w:bottom w:val="none" w:sz="0" w:space="0" w:color="auto"/>
        <w:right w:val="none" w:sz="0" w:space="0" w:color="auto"/>
      </w:divBdr>
      <w:divsChild>
        <w:div w:id="1910536228">
          <w:marLeft w:val="0"/>
          <w:marRight w:val="0"/>
          <w:marTop w:val="0"/>
          <w:marBottom w:val="0"/>
          <w:divBdr>
            <w:top w:val="none" w:sz="0" w:space="0" w:color="auto"/>
            <w:left w:val="none" w:sz="0" w:space="0" w:color="auto"/>
            <w:bottom w:val="none" w:sz="0" w:space="0" w:color="auto"/>
            <w:right w:val="none" w:sz="0" w:space="0" w:color="auto"/>
          </w:divBdr>
          <w:divsChild>
            <w:div w:id="871764279">
              <w:marLeft w:val="0"/>
              <w:marRight w:val="0"/>
              <w:marTop w:val="0"/>
              <w:marBottom w:val="0"/>
              <w:divBdr>
                <w:top w:val="none" w:sz="0" w:space="0" w:color="auto"/>
                <w:left w:val="none" w:sz="0" w:space="0" w:color="auto"/>
                <w:bottom w:val="none" w:sz="0" w:space="0" w:color="auto"/>
                <w:right w:val="none" w:sz="0" w:space="0" w:color="auto"/>
              </w:divBdr>
              <w:divsChild>
                <w:div w:id="110153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882681">
      <w:bodyDiv w:val="1"/>
      <w:marLeft w:val="0"/>
      <w:marRight w:val="0"/>
      <w:marTop w:val="0"/>
      <w:marBottom w:val="0"/>
      <w:divBdr>
        <w:top w:val="none" w:sz="0" w:space="0" w:color="auto"/>
        <w:left w:val="none" w:sz="0" w:space="0" w:color="auto"/>
        <w:bottom w:val="none" w:sz="0" w:space="0" w:color="auto"/>
        <w:right w:val="none" w:sz="0" w:space="0" w:color="auto"/>
      </w:divBdr>
      <w:divsChild>
        <w:div w:id="896205565">
          <w:marLeft w:val="0"/>
          <w:marRight w:val="0"/>
          <w:marTop w:val="0"/>
          <w:marBottom w:val="0"/>
          <w:divBdr>
            <w:top w:val="none" w:sz="0" w:space="0" w:color="auto"/>
            <w:left w:val="none" w:sz="0" w:space="0" w:color="auto"/>
            <w:bottom w:val="none" w:sz="0" w:space="0" w:color="auto"/>
            <w:right w:val="none" w:sz="0" w:space="0" w:color="auto"/>
          </w:divBdr>
          <w:divsChild>
            <w:div w:id="1705714355">
              <w:marLeft w:val="0"/>
              <w:marRight w:val="0"/>
              <w:marTop w:val="0"/>
              <w:marBottom w:val="0"/>
              <w:divBdr>
                <w:top w:val="none" w:sz="0" w:space="0" w:color="auto"/>
                <w:left w:val="none" w:sz="0" w:space="0" w:color="auto"/>
                <w:bottom w:val="none" w:sz="0" w:space="0" w:color="auto"/>
                <w:right w:val="none" w:sz="0" w:space="0" w:color="auto"/>
              </w:divBdr>
              <w:divsChild>
                <w:div w:id="110029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633367">
      <w:bodyDiv w:val="1"/>
      <w:marLeft w:val="0"/>
      <w:marRight w:val="0"/>
      <w:marTop w:val="0"/>
      <w:marBottom w:val="0"/>
      <w:divBdr>
        <w:top w:val="none" w:sz="0" w:space="0" w:color="auto"/>
        <w:left w:val="none" w:sz="0" w:space="0" w:color="auto"/>
        <w:bottom w:val="none" w:sz="0" w:space="0" w:color="auto"/>
        <w:right w:val="none" w:sz="0" w:space="0" w:color="auto"/>
      </w:divBdr>
      <w:divsChild>
        <w:div w:id="2042776222">
          <w:marLeft w:val="0"/>
          <w:marRight w:val="0"/>
          <w:marTop w:val="0"/>
          <w:marBottom w:val="0"/>
          <w:divBdr>
            <w:top w:val="none" w:sz="0" w:space="0" w:color="auto"/>
            <w:left w:val="none" w:sz="0" w:space="0" w:color="auto"/>
            <w:bottom w:val="none" w:sz="0" w:space="0" w:color="auto"/>
            <w:right w:val="none" w:sz="0" w:space="0" w:color="auto"/>
          </w:divBdr>
          <w:divsChild>
            <w:div w:id="1324431140">
              <w:marLeft w:val="0"/>
              <w:marRight w:val="0"/>
              <w:marTop w:val="0"/>
              <w:marBottom w:val="0"/>
              <w:divBdr>
                <w:top w:val="none" w:sz="0" w:space="0" w:color="auto"/>
                <w:left w:val="none" w:sz="0" w:space="0" w:color="auto"/>
                <w:bottom w:val="none" w:sz="0" w:space="0" w:color="auto"/>
                <w:right w:val="none" w:sz="0" w:space="0" w:color="auto"/>
              </w:divBdr>
              <w:divsChild>
                <w:div w:id="1739396362">
                  <w:marLeft w:val="0"/>
                  <w:marRight w:val="0"/>
                  <w:marTop w:val="0"/>
                  <w:marBottom w:val="0"/>
                  <w:divBdr>
                    <w:top w:val="none" w:sz="0" w:space="0" w:color="auto"/>
                    <w:left w:val="none" w:sz="0" w:space="0" w:color="auto"/>
                    <w:bottom w:val="none" w:sz="0" w:space="0" w:color="auto"/>
                    <w:right w:val="none" w:sz="0" w:space="0" w:color="auto"/>
                  </w:divBdr>
                  <w:divsChild>
                    <w:div w:id="804928635">
                      <w:marLeft w:val="0"/>
                      <w:marRight w:val="0"/>
                      <w:marTop w:val="0"/>
                      <w:marBottom w:val="0"/>
                      <w:divBdr>
                        <w:top w:val="none" w:sz="0" w:space="0" w:color="auto"/>
                        <w:left w:val="none" w:sz="0" w:space="0" w:color="auto"/>
                        <w:bottom w:val="none" w:sz="0" w:space="0" w:color="auto"/>
                        <w:right w:val="none" w:sz="0" w:space="0" w:color="auto"/>
                      </w:divBdr>
                      <w:divsChild>
                        <w:div w:id="101727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75664">
                  <w:marLeft w:val="0"/>
                  <w:marRight w:val="0"/>
                  <w:marTop w:val="0"/>
                  <w:marBottom w:val="0"/>
                  <w:divBdr>
                    <w:top w:val="none" w:sz="0" w:space="0" w:color="auto"/>
                    <w:left w:val="none" w:sz="0" w:space="0" w:color="auto"/>
                    <w:bottom w:val="none" w:sz="0" w:space="0" w:color="auto"/>
                    <w:right w:val="none" w:sz="0" w:space="0" w:color="auto"/>
                  </w:divBdr>
                  <w:divsChild>
                    <w:div w:id="769472666">
                      <w:marLeft w:val="0"/>
                      <w:marRight w:val="0"/>
                      <w:marTop w:val="0"/>
                      <w:marBottom w:val="0"/>
                      <w:divBdr>
                        <w:top w:val="none" w:sz="0" w:space="0" w:color="auto"/>
                        <w:left w:val="none" w:sz="0" w:space="0" w:color="auto"/>
                        <w:bottom w:val="none" w:sz="0" w:space="0" w:color="auto"/>
                        <w:right w:val="none" w:sz="0" w:space="0" w:color="auto"/>
                      </w:divBdr>
                      <w:divsChild>
                        <w:div w:id="48994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71356">
      <w:bodyDiv w:val="1"/>
      <w:marLeft w:val="0"/>
      <w:marRight w:val="0"/>
      <w:marTop w:val="0"/>
      <w:marBottom w:val="0"/>
      <w:divBdr>
        <w:top w:val="none" w:sz="0" w:space="0" w:color="auto"/>
        <w:left w:val="none" w:sz="0" w:space="0" w:color="auto"/>
        <w:bottom w:val="none" w:sz="0" w:space="0" w:color="auto"/>
        <w:right w:val="none" w:sz="0" w:space="0" w:color="auto"/>
      </w:divBdr>
    </w:div>
    <w:div w:id="783503395">
      <w:bodyDiv w:val="1"/>
      <w:marLeft w:val="0"/>
      <w:marRight w:val="0"/>
      <w:marTop w:val="0"/>
      <w:marBottom w:val="0"/>
      <w:divBdr>
        <w:top w:val="none" w:sz="0" w:space="0" w:color="auto"/>
        <w:left w:val="none" w:sz="0" w:space="0" w:color="auto"/>
        <w:bottom w:val="none" w:sz="0" w:space="0" w:color="auto"/>
        <w:right w:val="none" w:sz="0" w:space="0" w:color="auto"/>
      </w:divBdr>
    </w:div>
    <w:div w:id="794756720">
      <w:bodyDiv w:val="1"/>
      <w:marLeft w:val="0"/>
      <w:marRight w:val="0"/>
      <w:marTop w:val="0"/>
      <w:marBottom w:val="0"/>
      <w:divBdr>
        <w:top w:val="none" w:sz="0" w:space="0" w:color="auto"/>
        <w:left w:val="none" w:sz="0" w:space="0" w:color="auto"/>
        <w:bottom w:val="none" w:sz="0" w:space="0" w:color="auto"/>
        <w:right w:val="none" w:sz="0" w:space="0" w:color="auto"/>
      </w:divBdr>
    </w:div>
    <w:div w:id="941109507">
      <w:bodyDiv w:val="1"/>
      <w:marLeft w:val="0"/>
      <w:marRight w:val="0"/>
      <w:marTop w:val="0"/>
      <w:marBottom w:val="0"/>
      <w:divBdr>
        <w:top w:val="none" w:sz="0" w:space="0" w:color="auto"/>
        <w:left w:val="none" w:sz="0" w:space="0" w:color="auto"/>
        <w:bottom w:val="none" w:sz="0" w:space="0" w:color="auto"/>
        <w:right w:val="none" w:sz="0" w:space="0" w:color="auto"/>
      </w:divBdr>
    </w:div>
    <w:div w:id="981813470">
      <w:bodyDiv w:val="1"/>
      <w:marLeft w:val="0"/>
      <w:marRight w:val="0"/>
      <w:marTop w:val="0"/>
      <w:marBottom w:val="0"/>
      <w:divBdr>
        <w:top w:val="none" w:sz="0" w:space="0" w:color="auto"/>
        <w:left w:val="none" w:sz="0" w:space="0" w:color="auto"/>
        <w:bottom w:val="none" w:sz="0" w:space="0" w:color="auto"/>
        <w:right w:val="none" w:sz="0" w:space="0" w:color="auto"/>
      </w:divBdr>
    </w:div>
    <w:div w:id="990980326">
      <w:bodyDiv w:val="1"/>
      <w:marLeft w:val="0"/>
      <w:marRight w:val="0"/>
      <w:marTop w:val="0"/>
      <w:marBottom w:val="0"/>
      <w:divBdr>
        <w:top w:val="none" w:sz="0" w:space="0" w:color="auto"/>
        <w:left w:val="none" w:sz="0" w:space="0" w:color="auto"/>
        <w:bottom w:val="none" w:sz="0" w:space="0" w:color="auto"/>
        <w:right w:val="none" w:sz="0" w:space="0" w:color="auto"/>
      </w:divBdr>
    </w:div>
    <w:div w:id="1043402666">
      <w:bodyDiv w:val="1"/>
      <w:marLeft w:val="0"/>
      <w:marRight w:val="0"/>
      <w:marTop w:val="0"/>
      <w:marBottom w:val="0"/>
      <w:divBdr>
        <w:top w:val="none" w:sz="0" w:space="0" w:color="auto"/>
        <w:left w:val="none" w:sz="0" w:space="0" w:color="auto"/>
        <w:bottom w:val="none" w:sz="0" w:space="0" w:color="auto"/>
        <w:right w:val="none" w:sz="0" w:space="0" w:color="auto"/>
      </w:divBdr>
      <w:divsChild>
        <w:div w:id="270942174">
          <w:marLeft w:val="0"/>
          <w:marRight w:val="0"/>
          <w:marTop w:val="0"/>
          <w:marBottom w:val="0"/>
          <w:divBdr>
            <w:top w:val="none" w:sz="0" w:space="0" w:color="auto"/>
            <w:left w:val="none" w:sz="0" w:space="0" w:color="auto"/>
            <w:bottom w:val="none" w:sz="0" w:space="0" w:color="auto"/>
            <w:right w:val="none" w:sz="0" w:space="0" w:color="auto"/>
          </w:divBdr>
          <w:divsChild>
            <w:div w:id="1728382366">
              <w:marLeft w:val="0"/>
              <w:marRight w:val="0"/>
              <w:marTop w:val="0"/>
              <w:marBottom w:val="0"/>
              <w:divBdr>
                <w:top w:val="none" w:sz="0" w:space="0" w:color="auto"/>
                <w:left w:val="none" w:sz="0" w:space="0" w:color="auto"/>
                <w:bottom w:val="none" w:sz="0" w:space="0" w:color="auto"/>
                <w:right w:val="none" w:sz="0" w:space="0" w:color="auto"/>
              </w:divBdr>
              <w:divsChild>
                <w:div w:id="208437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512550">
      <w:bodyDiv w:val="1"/>
      <w:marLeft w:val="0"/>
      <w:marRight w:val="0"/>
      <w:marTop w:val="0"/>
      <w:marBottom w:val="0"/>
      <w:divBdr>
        <w:top w:val="none" w:sz="0" w:space="0" w:color="auto"/>
        <w:left w:val="none" w:sz="0" w:space="0" w:color="auto"/>
        <w:bottom w:val="none" w:sz="0" w:space="0" w:color="auto"/>
        <w:right w:val="none" w:sz="0" w:space="0" w:color="auto"/>
      </w:divBdr>
      <w:divsChild>
        <w:div w:id="1023477779">
          <w:marLeft w:val="0"/>
          <w:marRight w:val="0"/>
          <w:marTop w:val="0"/>
          <w:marBottom w:val="0"/>
          <w:divBdr>
            <w:top w:val="none" w:sz="0" w:space="0" w:color="auto"/>
            <w:left w:val="none" w:sz="0" w:space="0" w:color="auto"/>
            <w:bottom w:val="none" w:sz="0" w:space="0" w:color="auto"/>
            <w:right w:val="none" w:sz="0" w:space="0" w:color="auto"/>
          </w:divBdr>
          <w:divsChild>
            <w:div w:id="755516369">
              <w:marLeft w:val="0"/>
              <w:marRight w:val="0"/>
              <w:marTop w:val="0"/>
              <w:marBottom w:val="0"/>
              <w:divBdr>
                <w:top w:val="none" w:sz="0" w:space="0" w:color="auto"/>
                <w:left w:val="none" w:sz="0" w:space="0" w:color="auto"/>
                <w:bottom w:val="none" w:sz="0" w:space="0" w:color="auto"/>
                <w:right w:val="none" w:sz="0" w:space="0" w:color="auto"/>
              </w:divBdr>
              <w:divsChild>
                <w:div w:id="153048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249589">
      <w:bodyDiv w:val="1"/>
      <w:marLeft w:val="0"/>
      <w:marRight w:val="0"/>
      <w:marTop w:val="0"/>
      <w:marBottom w:val="0"/>
      <w:divBdr>
        <w:top w:val="none" w:sz="0" w:space="0" w:color="auto"/>
        <w:left w:val="none" w:sz="0" w:space="0" w:color="auto"/>
        <w:bottom w:val="none" w:sz="0" w:space="0" w:color="auto"/>
        <w:right w:val="none" w:sz="0" w:space="0" w:color="auto"/>
      </w:divBdr>
    </w:div>
    <w:div w:id="1150706477">
      <w:bodyDiv w:val="1"/>
      <w:marLeft w:val="0"/>
      <w:marRight w:val="0"/>
      <w:marTop w:val="0"/>
      <w:marBottom w:val="0"/>
      <w:divBdr>
        <w:top w:val="none" w:sz="0" w:space="0" w:color="auto"/>
        <w:left w:val="none" w:sz="0" w:space="0" w:color="auto"/>
        <w:bottom w:val="none" w:sz="0" w:space="0" w:color="auto"/>
        <w:right w:val="none" w:sz="0" w:space="0" w:color="auto"/>
      </w:divBdr>
      <w:divsChild>
        <w:div w:id="767576965">
          <w:marLeft w:val="0"/>
          <w:marRight w:val="0"/>
          <w:marTop w:val="0"/>
          <w:marBottom w:val="0"/>
          <w:divBdr>
            <w:top w:val="none" w:sz="0" w:space="0" w:color="auto"/>
            <w:left w:val="none" w:sz="0" w:space="0" w:color="auto"/>
            <w:bottom w:val="none" w:sz="0" w:space="0" w:color="auto"/>
            <w:right w:val="none" w:sz="0" w:space="0" w:color="auto"/>
          </w:divBdr>
          <w:divsChild>
            <w:div w:id="1402172846">
              <w:marLeft w:val="0"/>
              <w:marRight w:val="0"/>
              <w:marTop w:val="0"/>
              <w:marBottom w:val="0"/>
              <w:divBdr>
                <w:top w:val="none" w:sz="0" w:space="0" w:color="auto"/>
                <w:left w:val="none" w:sz="0" w:space="0" w:color="auto"/>
                <w:bottom w:val="none" w:sz="0" w:space="0" w:color="auto"/>
                <w:right w:val="none" w:sz="0" w:space="0" w:color="auto"/>
              </w:divBdr>
              <w:divsChild>
                <w:div w:id="166049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984302">
      <w:bodyDiv w:val="1"/>
      <w:marLeft w:val="0"/>
      <w:marRight w:val="0"/>
      <w:marTop w:val="0"/>
      <w:marBottom w:val="0"/>
      <w:divBdr>
        <w:top w:val="none" w:sz="0" w:space="0" w:color="auto"/>
        <w:left w:val="none" w:sz="0" w:space="0" w:color="auto"/>
        <w:bottom w:val="none" w:sz="0" w:space="0" w:color="auto"/>
        <w:right w:val="none" w:sz="0" w:space="0" w:color="auto"/>
      </w:divBdr>
      <w:divsChild>
        <w:div w:id="1232929177">
          <w:marLeft w:val="0"/>
          <w:marRight w:val="0"/>
          <w:marTop w:val="0"/>
          <w:marBottom w:val="0"/>
          <w:divBdr>
            <w:top w:val="none" w:sz="0" w:space="0" w:color="auto"/>
            <w:left w:val="none" w:sz="0" w:space="0" w:color="auto"/>
            <w:bottom w:val="none" w:sz="0" w:space="0" w:color="auto"/>
            <w:right w:val="none" w:sz="0" w:space="0" w:color="auto"/>
          </w:divBdr>
          <w:divsChild>
            <w:div w:id="464155468">
              <w:marLeft w:val="0"/>
              <w:marRight w:val="0"/>
              <w:marTop w:val="0"/>
              <w:marBottom w:val="0"/>
              <w:divBdr>
                <w:top w:val="none" w:sz="0" w:space="0" w:color="auto"/>
                <w:left w:val="none" w:sz="0" w:space="0" w:color="auto"/>
                <w:bottom w:val="none" w:sz="0" w:space="0" w:color="auto"/>
                <w:right w:val="none" w:sz="0" w:space="0" w:color="auto"/>
              </w:divBdr>
              <w:divsChild>
                <w:div w:id="166227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522609">
      <w:bodyDiv w:val="1"/>
      <w:marLeft w:val="0"/>
      <w:marRight w:val="0"/>
      <w:marTop w:val="0"/>
      <w:marBottom w:val="0"/>
      <w:divBdr>
        <w:top w:val="none" w:sz="0" w:space="0" w:color="auto"/>
        <w:left w:val="none" w:sz="0" w:space="0" w:color="auto"/>
        <w:bottom w:val="none" w:sz="0" w:space="0" w:color="auto"/>
        <w:right w:val="none" w:sz="0" w:space="0" w:color="auto"/>
      </w:divBdr>
      <w:divsChild>
        <w:div w:id="1227760748">
          <w:marLeft w:val="0"/>
          <w:marRight w:val="0"/>
          <w:marTop w:val="0"/>
          <w:marBottom w:val="0"/>
          <w:divBdr>
            <w:top w:val="none" w:sz="0" w:space="0" w:color="auto"/>
            <w:left w:val="none" w:sz="0" w:space="0" w:color="auto"/>
            <w:bottom w:val="none" w:sz="0" w:space="0" w:color="auto"/>
            <w:right w:val="none" w:sz="0" w:space="0" w:color="auto"/>
          </w:divBdr>
          <w:divsChild>
            <w:div w:id="1396851188">
              <w:marLeft w:val="0"/>
              <w:marRight w:val="0"/>
              <w:marTop w:val="0"/>
              <w:marBottom w:val="0"/>
              <w:divBdr>
                <w:top w:val="none" w:sz="0" w:space="0" w:color="auto"/>
                <w:left w:val="none" w:sz="0" w:space="0" w:color="auto"/>
                <w:bottom w:val="none" w:sz="0" w:space="0" w:color="auto"/>
                <w:right w:val="none" w:sz="0" w:space="0" w:color="auto"/>
              </w:divBdr>
              <w:divsChild>
                <w:div w:id="193489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263979">
      <w:bodyDiv w:val="1"/>
      <w:marLeft w:val="0"/>
      <w:marRight w:val="0"/>
      <w:marTop w:val="0"/>
      <w:marBottom w:val="0"/>
      <w:divBdr>
        <w:top w:val="none" w:sz="0" w:space="0" w:color="auto"/>
        <w:left w:val="none" w:sz="0" w:space="0" w:color="auto"/>
        <w:bottom w:val="none" w:sz="0" w:space="0" w:color="auto"/>
        <w:right w:val="none" w:sz="0" w:space="0" w:color="auto"/>
      </w:divBdr>
      <w:divsChild>
        <w:div w:id="507476953">
          <w:marLeft w:val="0"/>
          <w:marRight w:val="0"/>
          <w:marTop w:val="0"/>
          <w:marBottom w:val="0"/>
          <w:divBdr>
            <w:top w:val="none" w:sz="0" w:space="0" w:color="auto"/>
            <w:left w:val="none" w:sz="0" w:space="0" w:color="auto"/>
            <w:bottom w:val="none" w:sz="0" w:space="0" w:color="auto"/>
            <w:right w:val="none" w:sz="0" w:space="0" w:color="auto"/>
          </w:divBdr>
          <w:divsChild>
            <w:div w:id="973867780">
              <w:marLeft w:val="0"/>
              <w:marRight w:val="0"/>
              <w:marTop w:val="0"/>
              <w:marBottom w:val="0"/>
              <w:divBdr>
                <w:top w:val="none" w:sz="0" w:space="0" w:color="auto"/>
                <w:left w:val="none" w:sz="0" w:space="0" w:color="auto"/>
                <w:bottom w:val="none" w:sz="0" w:space="0" w:color="auto"/>
                <w:right w:val="none" w:sz="0" w:space="0" w:color="auto"/>
              </w:divBdr>
              <w:divsChild>
                <w:div w:id="47071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410341">
      <w:bodyDiv w:val="1"/>
      <w:marLeft w:val="0"/>
      <w:marRight w:val="0"/>
      <w:marTop w:val="0"/>
      <w:marBottom w:val="0"/>
      <w:divBdr>
        <w:top w:val="none" w:sz="0" w:space="0" w:color="auto"/>
        <w:left w:val="none" w:sz="0" w:space="0" w:color="auto"/>
        <w:bottom w:val="none" w:sz="0" w:space="0" w:color="auto"/>
        <w:right w:val="none" w:sz="0" w:space="0" w:color="auto"/>
      </w:divBdr>
    </w:div>
    <w:div w:id="1736514048">
      <w:bodyDiv w:val="1"/>
      <w:marLeft w:val="0"/>
      <w:marRight w:val="0"/>
      <w:marTop w:val="0"/>
      <w:marBottom w:val="0"/>
      <w:divBdr>
        <w:top w:val="none" w:sz="0" w:space="0" w:color="auto"/>
        <w:left w:val="none" w:sz="0" w:space="0" w:color="auto"/>
        <w:bottom w:val="none" w:sz="0" w:space="0" w:color="auto"/>
        <w:right w:val="none" w:sz="0" w:space="0" w:color="auto"/>
      </w:divBdr>
      <w:divsChild>
        <w:div w:id="1033459551">
          <w:marLeft w:val="0"/>
          <w:marRight w:val="0"/>
          <w:marTop w:val="0"/>
          <w:marBottom w:val="0"/>
          <w:divBdr>
            <w:top w:val="none" w:sz="0" w:space="0" w:color="auto"/>
            <w:left w:val="none" w:sz="0" w:space="0" w:color="auto"/>
            <w:bottom w:val="none" w:sz="0" w:space="0" w:color="auto"/>
            <w:right w:val="none" w:sz="0" w:space="0" w:color="auto"/>
          </w:divBdr>
          <w:divsChild>
            <w:div w:id="29841082">
              <w:marLeft w:val="0"/>
              <w:marRight w:val="0"/>
              <w:marTop w:val="0"/>
              <w:marBottom w:val="0"/>
              <w:divBdr>
                <w:top w:val="none" w:sz="0" w:space="0" w:color="auto"/>
                <w:left w:val="none" w:sz="0" w:space="0" w:color="auto"/>
                <w:bottom w:val="none" w:sz="0" w:space="0" w:color="auto"/>
                <w:right w:val="none" w:sz="0" w:space="0" w:color="auto"/>
              </w:divBdr>
              <w:divsChild>
                <w:div w:id="171727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848638">
      <w:bodyDiv w:val="1"/>
      <w:marLeft w:val="0"/>
      <w:marRight w:val="0"/>
      <w:marTop w:val="0"/>
      <w:marBottom w:val="0"/>
      <w:divBdr>
        <w:top w:val="none" w:sz="0" w:space="0" w:color="auto"/>
        <w:left w:val="none" w:sz="0" w:space="0" w:color="auto"/>
        <w:bottom w:val="none" w:sz="0" w:space="0" w:color="auto"/>
        <w:right w:val="none" w:sz="0" w:space="0" w:color="auto"/>
      </w:divBdr>
      <w:divsChild>
        <w:div w:id="298537802">
          <w:marLeft w:val="0"/>
          <w:marRight w:val="0"/>
          <w:marTop w:val="0"/>
          <w:marBottom w:val="0"/>
          <w:divBdr>
            <w:top w:val="none" w:sz="0" w:space="0" w:color="auto"/>
            <w:left w:val="none" w:sz="0" w:space="0" w:color="auto"/>
            <w:bottom w:val="none" w:sz="0" w:space="0" w:color="auto"/>
            <w:right w:val="none" w:sz="0" w:space="0" w:color="auto"/>
          </w:divBdr>
          <w:divsChild>
            <w:div w:id="1231891940">
              <w:marLeft w:val="0"/>
              <w:marRight w:val="0"/>
              <w:marTop w:val="0"/>
              <w:marBottom w:val="0"/>
              <w:divBdr>
                <w:top w:val="none" w:sz="0" w:space="0" w:color="auto"/>
                <w:left w:val="none" w:sz="0" w:space="0" w:color="auto"/>
                <w:bottom w:val="none" w:sz="0" w:space="0" w:color="auto"/>
                <w:right w:val="none" w:sz="0" w:space="0" w:color="auto"/>
              </w:divBdr>
              <w:divsChild>
                <w:div w:id="177061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482893">
      <w:bodyDiv w:val="1"/>
      <w:marLeft w:val="0"/>
      <w:marRight w:val="0"/>
      <w:marTop w:val="0"/>
      <w:marBottom w:val="0"/>
      <w:divBdr>
        <w:top w:val="none" w:sz="0" w:space="0" w:color="auto"/>
        <w:left w:val="none" w:sz="0" w:space="0" w:color="auto"/>
        <w:bottom w:val="none" w:sz="0" w:space="0" w:color="auto"/>
        <w:right w:val="none" w:sz="0" w:space="0" w:color="auto"/>
      </w:divBdr>
    </w:div>
    <w:div w:id="20651060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hyperlink" Target="http://en.cade.gov.br/topics/publications/guidelines/guideline-gun-jumping.pdf" TargetMode="External"/><Relationship Id="rId39" Type="http://schemas.openxmlformats.org/officeDocument/2006/relationships/hyperlink" Target="https://www.slideshare.net/OECD-DAF/gun-jumping-oecd-november-2018-oecd-discussion" TargetMode="External"/><Relationship Id="rId21" Type="http://schemas.openxmlformats.org/officeDocument/2006/relationships/hyperlink" Target="https://www.mpfn.gob.pe/escuela/contenido/actividades/docs/2271_responsabilidad_subjetiva_u_objetiva_en_materia_sancionadora.pdf" TargetMode="External"/><Relationship Id="rId34" Type="http://schemas.openxmlformats.org/officeDocument/2006/relationships/hyperlink" Target="https://www.slideshare.net/OECD-DAF/gun-jumping-modrall-november-2018-oecd-discussion" TargetMode="External"/><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pijlibre.minjus.gob.pe/CLP/contenidos.dll?f=id$id=peru%3Ar%3A44cdd4$cid=peru$an=JD_DLEG1029-A1$3.0" TargetMode="External"/><Relationship Id="rId20" Type="http://schemas.openxmlformats.org/officeDocument/2006/relationships/hyperlink" Target="https://www.mpfn.gob.pe/escuela/contenido/actividades/docs/2271_responsabilidad_subjetiva_u_objetiva_en_materia_sancionadora.pdf" TargetMode="External"/><Relationship Id="rId29" Type="http://schemas.openxmlformats.org/officeDocument/2006/relationships/hyperlink" Target="https://dialnet.unirioja.es/ejemplar/401182"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www.cnmc.es/sites/default/files/1647653.pdf" TargetMode="External"/><Relationship Id="rId32" Type="http://schemas.openxmlformats.org/officeDocument/2006/relationships/hyperlink" Target="http://www.cepc.gob.es/publicaciones/revistas/revistaselectronicas?IDR=1" TargetMode="External"/><Relationship Id="rId37" Type="http://schemas.openxmlformats.org/officeDocument/2006/relationships/hyperlink" Target="https://dialnet.unirioja.es/ejemplar/142792" TargetMode="External"/><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www.cepc.gob.es/publicaciones/revistas/revistaselectronicas?IDR=1&amp;IDN=1364" TargetMode="External"/><Relationship Id="rId28" Type="http://schemas.openxmlformats.org/officeDocument/2006/relationships/hyperlink" Target="https://dialnet.unirioja.es/servlet/revista?codigo=14834" TargetMode="External"/><Relationship Id="rId36" Type="http://schemas.openxmlformats.org/officeDocument/2006/relationships/hyperlink" Target="https://dialnet.unirioja.es/servlet/revista?codigo=1132" TargetMode="External"/><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hyperlink" Target="http://www.cepc.gob.es/publicaciones/revistas/revistaselectronicas?IDR=1&amp;IDN=1410" TargetMode="Externa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hyperlink" Target="http://www.cepc.gob.es/publicaciones/revistas/revistaselectronicas?IDR=1" TargetMode="External"/><Relationship Id="rId27" Type="http://schemas.openxmlformats.org/officeDocument/2006/relationships/hyperlink" Target="http://ec.europa.eu/competition/mergers/cases/decisions/m993_19980527_610_en.pdf" TargetMode="External"/><Relationship Id="rId30" Type="http://schemas.openxmlformats.org/officeDocument/2006/relationships/hyperlink" Target="http://www.fne.gob.cl/wp-content/uploads/2018/04/Requerimiento-Minerva-JBS.pdf" TargetMode="External"/><Relationship Id="rId35" Type="http://schemas.openxmlformats.org/officeDocument/2006/relationships/hyperlink" Target="https://one.oecd.org/document/DAF/COMP/LACF(2017)15/es/pdf" TargetMode="External"/><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hyperlink" Target="https://laley.pe/art/7738/tc-declara-inconstitucional-la-regulacion-de-la-responsabilidad-funcional-de-los-trabajadores-publicos" TargetMode="External"/><Relationship Id="rId25" Type="http://schemas.openxmlformats.org/officeDocument/2006/relationships/hyperlink" Target="https://www.bnamericas.com/company-profile/es/conselho-administrativo-de-defesa-economica-cade-conselho-administrativo-de-defesa-economica-cade" TargetMode="External"/><Relationship Id="rId33" Type="http://schemas.openxmlformats.org/officeDocument/2006/relationships/hyperlink" Target="http://www.cepc.gob.es/publicaciones/revistas/revistaselectronicas?IDR=1&amp;IDN=1410" TargetMode="External"/><Relationship Id="rId38" Type="http://schemas.openxmlformats.org/officeDocument/2006/relationships/hyperlink" Target="http://www.santivanez.com.pe/wp-content/uploads/2012/07/04transmicion-electrica.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gestion.pe/economia/luz-sur-ve-razon-legal-le-impida-central-quillabamba-106722" TargetMode="External"/><Relationship Id="rId2" Type="http://schemas.openxmlformats.org/officeDocument/2006/relationships/hyperlink" Target="http://www.cnmv.es/Portal/hr/verDoc.axd?t=%7b8bd687f34894-4634-abdb-968a5bdfb760%7d" TargetMode="External"/><Relationship Id="rId1" Type="http://schemas.openxmlformats.org/officeDocument/2006/relationships/hyperlink" Target="http://www.cnmv.es/Portal/hr/verDoc.axd?t=%7B23797e67-68c2-4518-8881-bd08375b47ab%7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0t2QWD+oo2C5n9M/OQlPQ+RSaXQ==">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</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6221530-D923-9A45-9C1C-11AC10701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114</Pages>
  <Words>36841</Words>
  <Characters>202626</Characters>
  <Application>Microsoft Office Word</Application>
  <DocSecurity>0</DocSecurity>
  <Lines>1688</Lines>
  <Paragraphs>477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238990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Natalia Romano</cp:lastModifiedBy>
  <cp:revision>5</cp:revision>
  <cp:lastPrinted>2019-07-25T17:04:00Z</cp:lastPrinted>
  <dcterms:created xsi:type="dcterms:W3CDTF">2020-08-04T03:49:00Z</dcterms:created>
  <dcterms:modified xsi:type="dcterms:W3CDTF">2020-08-04T03:55:00Z</dcterms:modified>
</cp:coreProperties>
</file>